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0D" w:rsidRPr="00625FA1" w:rsidRDefault="003F1E0D" w:rsidP="00975758">
      <w:pPr>
        <w:jc w:val="center"/>
        <w:rPr>
          <w:rFonts w:ascii="Times New Roman" w:hAnsi="Times New Roman"/>
          <w:b/>
          <w:sz w:val="24"/>
          <w:szCs w:val="24"/>
        </w:rPr>
      </w:pPr>
      <w:r w:rsidRPr="00625FA1">
        <w:rPr>
          <w:rFonts w:ascii="Times New Roman" w:hAnsi="Times New Roman"/>
          <w:b/>
          <w:sz w:val="24"/>
          <w:szCs w:val="24"/>
        </w:rPr>
        <w:t>The</w:t>
      </w:r>
      <w:r w:rsidR="002317DC" w:rsidRPr="00625FA1">
        <w:rPr>
          <w:rFonts w:ascii="Times New Roman" w:hAnsi="Times New Roman"/>
          <w:b/>
          <w:sz w:val="24"/>
          <w:szCs w:val="24"/>
        </w:rPr>
        <w:t xml:space="preserve"> individual benefits of </w:t>
      </w:r>
      <w:r w:rsidR="00BA2A7A" w:rsidRPr="00625FA1">
        <w:rPr>
          <w:rFonts w:ascii="Times New Roman" w:hAnsi="Times New Roman"/>
          <w:b/>
          <w:sz w:val="24"/>
          <w:szCs w:val="24"/>
        </w:rPr>
        <w:t>investing in skills</w:t>
      </w:r>
    </w:p>
    <w:p w:rsidR="00975758" w:rsidRDefault="00975758" w:rsidP="00975758">
      <w:pPr>
        <w:jc w:val="center"/>
        <w:rPr>
          <w:rFonts w:ascii="Times New Roman" w:hAnsi="Times New Roman"/>
          <w:sz w:val="24"/>
          <w:szCs w:val="24"/>
        </w:rPr>
      </w:pPr>
      <w:r w:rsidRPr="00793A4A">
        <w:rPr>
          <w:rFonts w:ascii="Times New Roman" w:hAnsi="Times New Roman"/>
          <w:sz w:val="24"/>
          <w:szCs w:val="24"/>
        </w:rPr>
        <w:t>Craig Holmes</w:t>
      </w:r>
    </w:p>
    <w:p w:rsidR="0023083E" w:rsidRPr="0023083E" w:rsidRDefault="0023083E" w:rsidP="0023083E">
      <w:pPr>
        <w:jc w:val="both"/>
        <w:rPr>
          <w:rFonts w:ascii="Times New Roman" w:hAnsi="Times New Roman"/>
          <w:i/>
          <w:sz w:val="24"/>
          <w:szCs w:val="24"/>
        </w:rPr>
      </w:pPr>
      <w:r>
        <w:rPr>
          <w:rFonts w:ascii="Times New Roman" w:hAnsi="Times New Roman"/>
          <w:i/>
          <w:sz w:val="24"/>
          <w:szCs w:val="24"/>
        </w:rPr>
        <w:t xml:space="preserve">Note: </w:t>
      </w:r>
      <w:r w:rsidRPr="0023083E">
        <w:rPr>
          <w:rFonts w:ascii="Times New Roman" w:hAnsi="Times New Roman"/>
          <w:i/>
          <w:sz w:val="24"/>
          <w:szCs w:val="24"/>
        </w:rPr>
        <w:t>This is a draft of a chapter that has been accepted for publication by Oxford University Press</w:t>
      </w:r>
      <w:r>
        <w:rPr>
          <w:rFonts w:ascii="Times New Roman" w:hAnsi="Times New Roman"/>
          <w:i/>
          <w:sz w:val="24"/>
          <w:szCs w:val="24"/>
        </w:rPr>
        <w:t xml:space="preserve"> in the forthcoming book ‘Oxford Handbook of Skills’edited by, John Buchanan, </w:t>
      </w:r>
      <w:r>
        <w:rPr>
          <w:rFonts w:ascii="Times New Roman" w:hAnsi="Times New Roman"/>
          <w:i/>
          <w:sz w:val="24"/>
          <w:szCs w:val="24"/>
        </w:rPr>
        <w:t>David Finegold</w:t>
      </w:r>
      <w:r>
        <w:rPr>
          <w:rFonts w:ascii="Times New Roman" w:hAnsi="Times New Roman"/>
          <w:i/>
          <w:sz w:val="24"/>
          <w:szCs w:val="24"/>
        </w:rPr>
        <w:t xml:space="preserve">, Ken Mayhew and </w:t>
      </w:r>
      <w:r>
        <w:rPr>
          <w:rFonts w:ascii="Times New Roman" w:hAnsi="Times New Roman"/>
          <w:i/>
          <w:sz w:val="24"/>
          <w:szCs w:val="24"/>
        </w:rPr>
        <w:t>Chris Warhurst</w:t>
      </w:r>
      <w:r>
        <w:rPr>
          <w:rFonts w:ascii="Times New Roman" w:hAnsi="Times New Roman"/>
          <w:i/>
          <w:sz w:val="24"/>
          <w:szCs w:val="24"/>
        </w:rPr>
        <w:t>, due for publication in 2016</w:t>
      </w:r>
      <w:r w:rsidRPr="0023083E">
        <w:rPr>
          <w:rFonts w:ascii="Times New Roman" w:hAnsi="Times New Roman"/>
          <w:i/>
          <w:sz w:val="24"/>
          <w:szCs w:val="24"/>
        </w:rPr>
        <w:t>.</w:t>
      </w:r>
    </w:p>
    <w:p w:rsidR="00975758" w:rsidRPr="00793A4A" w:rsidRDefault="00C808A8" w:rsidP="007E6F0C">
      <w:pPr>
        <w:jc w:val="both"/>
        <w:rPr>
          <w:rFonts w:ascii="Times New Roman" w:hAnsi="Times New Roman"/>
          <w:b/>
          <w:sz w:val="24"/>
          <w:szCs w:val="24"/>
        </w:rPr>
      </w:pPr>
      <w:r w:rsidRPr="00793A4A">
        <w:rPr>
          <w:rFonts w:ascii="Times New Roman" w:hAnsi="Times New Roman"/>
          <w:b/>
          <w:sz w:val="24"/>
          <w:szCs w:val="24"/>
        </w:rPr>
        <w:t>Introduction</w:t>
      </w:r>
    </w:p>
    <w:p w:rsidR="000A4DBB" w:rsidRPr="00793A4A" w:rsidRDefault="000A4DBB" w:rsidP="00940760">
      <w:pPr>
        <w:spacing w:line="360" w:lineRule="auto"/>
        <w:jc w:val="both"/>
        <w:rPr>
          <w:rFonts w:ascii="Times New Roman" w:hAnsi="Times New Roman"/>
          <w:sz w:val="24"/>
          <w:szCs w:val="24"/>
        </w:rPr>
      </w:pPr>
      <w:r w:rsidRPr="00793A4A">
        <w:rPr>
          <w:rFonts w:ascii="Times New Roman" w:hAnsi="Times New Roman"/>
          <w:sz w:val="24"/>
          <w:szCs w:val="24"/>
        </w:rPr>
        <w:t xml:space="preserve">Acquiring skills through education and training is not a costless process. Individuals who participate incur direct monetary costs, such as course fees, non-monetary costs, such as the mental effort that needs to be exerted to complete the course, and indirect costs, such as the earnings that have been forgone whilst studying and learning. </w:t>
      </w:r>
      <w:r w:rsidR="00C808A8" w:rsidRPr="00793A4A">
        <w:rPr>
          <w:rFonts w:ascii="Times New Roman" w:hAnsi="Times New Roman"/>
          <w:sz w:val="24"/>
          <w:szCs w:val="24"/>
        </w:rPr>
        <w:t>In general, i</w:t>
      </w:r>
      <w:r w:rsidRPr="00793A4A">
        <w:rPr>
          <w:rFonts w:ascii="Times New Roman" w:hAnsi="Times New Roman"/>
          <w:sz w:val="24"/>
          <w:szCs w:val="24"/>
        </w:rPr>
        <w:t xml:space="preserve">ndividuals are willing to incur these costs because the rewards they receive from completion (or at least those they expect they will receive) are greater. </w:t>
      </w:r>
    </w:p>
    <w:p w:rsidR="005E7827" w:rsidRPr="00793A4A" w:rsidRDefault="000A4DBB" w:rsidP="00940760">
      <w:pPr>
        <w:spacing w:line="360" w:lineRule="auto"/>
        <w:jc w:val="both"/>
        <w:rPr>
          <w:rFonts w:ascii="Times New Roman" w:hAnsi="Times New Roman"/>
          <w:sz w:val="24"/>
          <w:szCs w:val="24"/>
        </w:rPr>
      </w:pPr>
      <w:r w:rsidRPr="00793A4A">
        <w:rPr>
          <w:rFonts w:ascii="Times New Roman" w:hAnsi="Times New Roman"/>
          <w:sz w:val="24"/>
          <w:szCs w:val="24"/>
        </w:rPr>
        <w:t>The rewards may take several forms. For some people, learning may be an enjoyable end in itself. However, when most people invest in their skills, the benefits they expect to receive are those produced when these newly acquired skills are employed in the labour market.</w:t>
      </w:r>
      <w:r w:rsidR="005E7827" w:rsidRPr="00793A4A">
        <w:rPr>
          <w:rFonts w:ascii="Times New Roman" w:hAnsi="Times New Roman"/>
          <w:sz w:val="24"/>
          <w:szCs w:val="24"/>
        </w:rPr>
        <w:t xml:space="preserve"> These benefits arise because new skills </w:t>
      </w:r>
      <w:r w:rsidR="00A60910" w:rsidRPr="00793A4A">
        <w:rPr>
          <w:rFonts w:ascii="Times New Roman" w:hAnsi="Times New Roman"/>
          <w:sz w:val="24"/>
          <w:szCs w:val="24"/>
        </w:rPr>
        <w:t xml:space="preserve">add </w:t>
      </w:r>
      <w:r w:rsidR="005E7827" w:rsidRPr="00793A4A">
        <w:rPr>
          <w:rFonts w:ascii="Times New Roman" w:hAnsi="Times New Roman"/>
          <w:sz w:val="24"/>
          <w:szCs w:val="24"/>
        </w:rPr>
        <w:t>to an individual’s</w:t>
      </w:r>
      <w:r w:rsidR="00A60910" w:rsidRPr="00793A4A">
        <w:rPr>
          <w:rFonts w:ascii="Times New Roman" w:hAnsi="Times New Roman"/>
          <w:sz w:val="24"/>
          <w:szCs w:val="24"/>
        </w:rPr>
        <w:t xml:space="preserve"> existing</w:t>
      </w:r>
      <w:r w:rsidR="005E7827" w:rsidRPr="00793A4A">
        <w:rPr>
          <w:rFonts w:ascii="Times New Roman" w:hAnsi="Times New Roman"/>
          <w:sz w:val="24"/>
          <w:szCs w:val="24"/>
        </w:rPr>
        <w:t xml:space="preserve"> human capital</w:t>
      </w:r>
      <w:r w:rsidR="00A60910" w:rsidRPr="00793A4A">
        <w:rPr>
          <w:rFonts w:ascii="Times New Roman" w:hAnsi="Times New Roman"/>
          <w:sz w:val="24"/>
          <w:szCs w:val="24"/>
        </w:rPr>
        <w:t xml:space="preserve">. They become more productive in the workplace given the extra capabilities their new skills have generated, and as a result </w:t>
      </w:r>
      <w:r w:rsidR="00E024AD">
        <w:rPr>
          <w:rFonts w:ascii="Times New Roman" w:hAnsi="Times New Roman"/>
          <w:sz w:val="24"/>
          <w:szCs w:val="24"/>
        </w:rPr>
        <w:t>find themselves</w:t>
      </w:r>
      <w:r w:rsidR="00A60910" w:rsidRPr="00793A4A">
        <w:rPr>
          <w:rFonts w:ascii="Times New Roman" w:hAnsi="Times New Roman"/>
          <w:sz w:val="24"/>
          <w:szCs w:val="24"/>
        </w:rPr>
        <w:t xml:space="preserve"> in greater demand by employers.  This gives th</w:t>
      </w:r>
      <w:r w:rsidR="00D107E1">
        <w:rPr>
          <w:rFonts w:ascii="Times New Roman" w:hAnsi="Times New Roman"/>
          <w:sz w:val="24"/>
          <w:szCs w:val="24"/>
        </w:rPr>
        <w:t>e</w:t>
      </w:r>
      <w:r w:rsidR="00A60910" w:rsidRPr="00793A4A">
        <w:rPr>
          <w:rFonts w:ascii="Times New Roman" w:hAnsi="Times New Roman"/>
          <w:sz w:val="24"/>
          <w:szCs w:val="24"/>
        </w:rPr>
        <w:t xml:space="preserve"> individual more options </w:t>
      </w:r>
      <w:r w:rsidR="00D107E1">
        <w:rPr>
          <w:rFonts w:ascii="Times New Roman" w:hAnsi="Times New Roman"/>
          <w:sz w:val="24"/>
          <w:szCs w:val="24"/>
        </w:rPr>
        <w:t>when</w:t>
      </w:r>
      <w:r w:rsidR="00A60910" w:rsidRPr="00793A4A">
        <w:rPr>
          <w:rFonts w:ascii="Times New Roman" w:hAnsi="Times New Roman"/>
          <w:sz w:val="24"/>
          <w:szCs w:val="24"/>
        </w:rPr>
        <w:t xml:space="preserve"> </w:t>
      </w:r>
      <w:r w:rsidR="00AB4ACD">
        <w:rPr>
          <w:rFonts w:ascii="Times New Roman" w:hAnsi="Times New Roman"/>
          <w:sz w:val="24"/>
          <w:szCs w:val="24"/>
        </w:rPr>
        <w:t>supply</w:t>
      </w:r>
      <w:r w:rsidR="00D107E1">
        <w:rPr>
          <w:rFonts w:ascii="Times New Roman" w:hAnsi="Times New Roman"/>
          <w:sz w:val="24"/>
          <w:szCs w:val="24"/>
        </w:rPr>
        <w:t>ing</w:t>
      </w:r>
      <w:r w:rsidR="00A60910" w:rsidRPr="00793A4A">
        <w:rPr>
          <w:rFonts w:ascii="Times New Roman" w:hAnsi="Times New Roman"/>
          <w:sz w:val="24"/>
          <w:szCs w:val="24"/>
        </w:rPr>
        <w:t xml:space="preserve"> their labour and, to the extent that there are a limited number of people who also make this investment, makes the individual a scarce and highly valued potential recruit for employers.</w:t>
      </w:r>
    </w:p>
    <w:p w:rsidR="005E7827" w:rsidRPr="00793A4A" w:rsidRDefault="00A60910" w:rsidP="00940760">
      <w:pPr>
        <w:spacing w:line="360" w:lineRule="auto"/>
        <w:jc w:val="both"/>
        <w:rPr>
          <w:rFonts w:ascii="Times New Roman" w:hAnsi="Times New Roman"/>
          <w:sz w:val="24"/>
          <w:szCs w:val="24"/>
        </w:rPr>
      </w:pPr>
      <w:r w:rsidRPr="00793A4A">
        <w:rPr>
          <w:rFonts w:ascii="Times New Roman" w:hAnsi="Times New Roman"/>
          <w:sz w:val="24"/>
          <w:szCs w:val="24"/>
        </w:rPr>
        <w:t xml:space="preserve">The higher productivity of skilled workers and willingness of firms and employers to compete for such individuals, combined with the relative scarcity of the skills they possess, imply two </w:t>
      </w:r>
      <w:r w:rsidR="000A4DBB" w:rsidRPr="00793A4A">
        <w:rPr>
          <w:rFonts w:ascii="Times New Roman" w:hAnsi="Times New Roman"/>
          <w:sz w:val="24"/>
          <w:szCs w:val="24"/>
        </w:rPr>
        <w:t xml:space="preserve">individual labour market benefits from investing in skill - a greater likelihood of finding work, and higher wages once in work. </w:t>
      </w:r>
      <w:r w:rsidR="005E7827" w:rsidRPr="00793A4A">
        <w:rPr>
          <w:rFonts w:ascii="Times New Roman" w:hAnsi="Times New Roman"/>
          <w:sz w:val="24"/>
          <w:szCs w:val="24"/>
        </w:rPr>
        <w:t>This chapter is concerned with quantifying the size of these benefits in different parts of the world and exploring the methodological challenges faced – and often overlooked – in the huge empirical literature around this question.</w:t>
      </w:r>
    </w:p>
    <w:p w:rsidR="005E7827" w:rsidRPr="00793A4A" w:rsidRDefault="00B87DE9" w:rsidP="00940760">
      <w:pPr>
        <w:spacing w:line="360" w:lineRule="auto"/>
        <w:jc w:val="both"/>
        <w:rPr>
          <w:rFonts w:ascii="Times New Roman" w:hAnsi="Times New Roman"/>
          <w:sz w:val="24"/>
          <w:szCs w:val="24"/>
        </w:rPr>
      </w:pPr>
      <w:r w:rsidRPr="00793A4A">
        <w:rPr>
          <w:rFonts w:ascii="Times New Roman" w:hAnsi="Times New Roman"/>
          <w:sz w:val="24"/>
          <w:szCs w:val="24"/>
        </w:rPr>
        <w:t xml:space="preserve">Many of the skills that an individual might possess, from basic literacy and numeracy to advanced knowledge of foreign languages or computer programming (to give just two examples of high-level skills) comes from formal education in the primary, secondary and tertiary sectors. Therefore, </w:t>
      </w:r>
      <w:r w:rsidR="00D107E1">
        <w:rPr>
          <w:rFonts w:ascii="Times New Roman" w:hAnsi="Times New Roman"/>
          <w:sz w:val="24"/>
          <w:szCs w:val="24"/>
        </w:rPr>
        <w:t>the chapter starts</w:t>
      </w:r>
      <w:r w:rsidRPr="00793A4A">
        <w:rPr>
          <w:rFonts w:ascii="Times New Roman" w:hAnsi="Times New Roman"/>
          <w:sz w:val="24"/>
          <w:szCs w:val="24"/>
        </w:rPr>
        <w:t xml:space="preserve"> in section 2 with a broad description of the </w:t>
      </w:r>
      <w:r w:rsidRPr="00793A4A">
        <w:rPr>
          <w:rFonts w:ascii="Times New Roman" w:hAnsi="Times New Roman"/>
          <w:sz w:val="24"/>
          <w:szCs w:val="24"/>
        </w:rPr>
        <w:lastRenderedPageBreak/>
        <w:t>earnings and employment prospects of individuals who have completed different levels of formal education across different countries.</w:t>
      </w:r>
    </w:p>
    <w:p w:rsidR="00B87DE9" w:rsidRPr="00793A4A" w:rsidRDefault="00B87DE9" w:rsidP="00940760">
      <w:pPr>
        <w:spacing w:line="360" w:lineRule="auto"/>
        <w:jc w:val="both"/>
        <w:rPr>
          <w:rFonts w:ascii="Times New Roman" w:hAnsi="Times New Roman"/>
          <w:sz w:val="24"/>
          <w:szCs w:val="24"/>
        </w:rPr>
      </w:pPr>
      <w:r w:rsidRPr="00793A4A">
        <w:rPr>
          <w:rFonts w:ascii="Times New Roman" w:hAnsi="Times New Roman"/>
          <w:sz w:val="24"/>
          <w:szCs w:val="24"/>
        </w:rPr>
        <w:t>However, just looking at raw differences in earnings or the likelihood of employment is not sufficient for measuring the value labour mark</w:t>
      </w:r>
      <w:r w:rsidR="00C93995">
        <w:rPr>
          <w:rFonts w:ascii="Times New Roman" w:hAnsi="Times New Roman"/>
          <w:sz w:val="24"/>
          <w:szCs w:val="24"/>
        </w:rPr>
        <w:t xml:space="preserve">ets attach to different skills, as </w:t>
      </w:r>
      <w:r w:rsidR="00F9041B" w:rsidRPr="00793A4A">
        <w:rPr>
          <w:rFonts w:ascii="Times New Roman" w:hAnsi="Times New Roman"/>
          <w:sz w:val="24"/>
          <w:szCs w:val="24"/>
        </w:rPr>
        <w:t xml:space="preserve">we do not immediately know the make-up of the groups being compared. </w:t>
      </w:r>
      <w:r w:rsidR="00D107E1">
        <w:rPr>
          <w:rFonts w:ascii="Times New Roman" w:hAnsi="Times New Roman"/>
          <w:sz w:val="24"/>
          <w:szCs w:val="24"/>
        </w:rPr>
        <w:t>S</w:t>
      </w:r>
      <w:r w:rsidR="00F9041B" w:rsidRPr="00793A4A">
        <w:rPr>
          <w:rFonts w:ascii="Times New Roman" w:hAnsi="Times New Roman"/>
          <w:sz w:val="24"/>
          <w:szCs w:val="24"/>
        </w:rPr>
        <w:t>ection 3, explain</w:t>
      </w:r>
      <w:r w:rsidR="00D107E1">
        <w:rPr>
          <w:rFonts w:ascii="Times New Roman" w:hAnsi="Times New Roman"/>
          <w:sz w:val="24"/>
          <w:szCs w:val="24"/>
        </w:rPr>
        <w:t>s</w:t>
      </w:r>
      <w:r w:rsidR="00F9041B" w:rsidRPr="00793A4A">
        <w:rPr>
          <w:rFonts w:ascii="Times New Roman" w:hAnsi="Times New Roman"/>
          <w:sz w:val="24"/>
          <w:szCs w:val="24"/>
        </w:rPr>
        <w:t xml:space="preserve"> the way researchers have estimated </w:t>
      </w:r>
      <w:r w:rsidR="00D107E1">
        <w:rPr>
          <w:rFonts w:ascii="Times New Roman" w:hAnsi="Times New Roman"/>
          <w:sz w:val="24"/>
          <w:szCs w:val="24"/>
        </w:rPr>
        <w:t>skills</w:t>
      </w:r>
      <w:r w:rsidR="00F9041B" w:rsidRPr="00793A4A">
        <w:rPr>
          <w:rFonts w:ascii="Times New Roman" w:hAnsi="Times New Roman"/>
          <w:sz w:val="24"/>
          <w:szCs w:val="24"/>
        </w:rPr>
        <w:t xml:space="preserve"> premi</w:t>
      </w:r>
      <w:r w:rsidR="00D107E1">
        <w:rPr>
          <w:rFonts w:ascii="Times New Roman" w:hAnsi="Times New Roman"/>
          <w:sz w:val="24"/>
          <w:szCs w:val="24"/>
        </w:rPr>
        <w:t>a</w:t>
      </w:r>
      <w:r w:rsidR="00F9041B" w:rsidRPr="00793A4A">
        <w:rPr>
          <w:rFonts w:ascii="Times New Roman" w:hAnsi="Times New Roman"/>
          <w:sz w:val="24"/>
          <w:szCs w:val="24"/>
        </w:rPr>
        <w:t xml:space="preserve"> </w:t>
      </w:r>
      <w:r w:rsidR="00D107E1">
        <w:rPr>
          <w:rFonts w:ascii="Times New Roman" w:hAnsi="Times New Roman"/>
          <w:sz w:val="24"/>
          <w:szCs w:val="24"/>
        </w:rPr>
        <w:t>after</w:t>
      </w:r>
      <w:r w:rsidR="00D107E1" w:rsidRPr="00793A4A">
        <w:rPr>
          <w:rFonts w:ascii="Times New Roman" w:hAnsi="Times New Roman"/>
          <w:sz w:val="24"/>
          <w:szCs w:val="24"/>
        </w:rPr>
        <w:t xml:space="preserve"> </w:t>
      </w:r>
      <w:r w:rsidR="00F9041B" w:rsidRPr="00793A4A">
        <w:rPr>
          <w:rFonts w:ascii="Times New Roman" w:hAnsi="Times New Roman"/>
          <w:sz w:val="24"/>
          <w:szCs w:val="24"/>
        </w:rPr>
        <w:t>controll</w:t>
      </w:r>
      <w:r w:rsidR="00D107E1">
        <w:rPr>
          <w:rFonts w:ascii="Times New Roman" w:hAnsi="Times New Roman"/>
          <w:sz w:val="24"/>
          <w:szCs w:val="24"/>
        </w:rPr>
        <w:t>ing</w:t>
      </w:r>
      <w:r w:rsidR="00F9041B" w:rsidRPr="00793A4A">
        <w:rPr>
          <w:rFonts w:ascii="Times New Roman" w:hAnsi="Times New Roman"/>
          <w:sz w:val="24"/>
          <w:szCs w:val="24"/>
        </w:rPr>
        <w:t xml:space="preserve"> for all other observable explanatory factors that </w:t>
      </w:r>
      <w:r w:rsidR="00AB2680" w:rsidRPr="00793A4A">
        <w:rPr>
          <w:rFonts w:ascii="Times New Roman" w:hAnsi="Times New Roman"/>
          <w:sz w:val="24"/>
          <w:szCs w:val="24"/>
        </w:rPr>
        <w:t xml:space="preserve">potentially </w:t>
      </w:r>
      <w:r w:rsidR="00F9041B" w:rsidRPr="00793A4A">
        <w:rPr>
          <w:rFonts w:ascii="Times New Roman" w:hAnsi="Times New Roman"/>
          <w:sz w:val="24"/>
          <w:szCs w:val="24"/>
        </w:rPr>
        <w:t xml:space="preserve">affect </w:t>
      </w:r>
      <w:r w:rsidR="00AB2680" w:rsidRPr="00793A4A">
        <w:rPr>
          <w:rFonts w:ascii="Times New Roman" w:hAnsi="Times New Roman"/>
          <w:sz w:val="24"/>
          <w:szCs w:val="24"/>
        </w:rPr>
        <w:t>labour market</w:t>
      </w:r>
      <w:r w:rsidR="00F9041B" w:rsidRPr="00793A4A">
        <w:rPr>
          <w:rFonts w:ascii="Times New Roman" w:hAnsi="Times New Roman"/>
          <w:sz w:val="24"/>
          <w:szCs w:val="24"/>
        </w:rPr>
        <w:t xml:space="preserve"> outcomes</w:t>
      </w:r>
      <w:r w:rsidR="00AB2680" w:rsidRPr="00793A4A">
        <w:rPr>
          <w:rFonts w:ascii="Times New Roman" w:hAnsi="Times New Roman"/>
          <w:sz w:val="24"/>
          <w:szCs w:val="24"/>
        </w:rPr>
        <w:t>. For wages, this estimation is known as a Mincerian wage equation</w:t>
      </w:r>
      <w:r w:rsidR="00D403D4">
        <w:rPr>
          <w:rFonts w:ascii="Times New Roman" w:hAnsi="Times New Roman"/>
          <w:sz w:val="24"/>
          <w:szCs w:val="24"/>
        </w:rPr>
        <w:t xml:space="preserve"> after </w:t>
      </w:r>
      <w:r w:rsidR="00E024AD">
        <w:rPr>
          <w:rFonts w:ascii="Times New Roman" w:hAnsi="Times New Roman"/>
          <w:sz w:val="24"/>
          <w:szCs w:val="24"/>
        </w:rPr>
        <w:t>economist Jacob Mincer</w:t>
      </w:r>
      <w:r w:rsidR="00AB2680" w:rsidRPr="00793A4A">
        <w:rPr>
          <w:rFonts w:ascii="Times New Roman" w:hAnsi="Times New Roman"/>
          <w:sz w:val="24"/>
          <w:szCs w:val="24"/>
        </w:rPr>
        <w:t>. In this section, I</w:t>
      </w:r>
      <w:r w:rsidR="00F9041B" w:rsidRPr="00793A4A">
        <w:rPr>
          <w:rFonts w:ascii="Times New Roman" w:hAnsi="Times New Roman"/>
          <w:sz w:val="24"/>
          <w:szCs w:val="24"/>
        </w:rPr>
        <w:t xml:space="preserve"> summarise findings from the large literature that has followed</w:t>
      </w:r>
      <w:r w:rsidR="00E44417">
        <w:rPr>
          <w:rFonts w:ascii="Times New Roman" w:hAnsi="Times New Roman"/>
          <w:sz w:val="24"/>
          <w:szCs w:val="24"/>
        </w:rPr>
        <w:t>, and in some cases adapted,</w:t>
      </w:r>
      <w:r w:rsidR="00F9041B" w:rsidRPr="00793A4A">
        <w:rPr>
          <w:rFonts w:ascii="Times New Roman" w:hAnsi="Times New Roman"/>
          <w:sz w:val="24"/>
          <w:szCs w:val="24"/>
        </w:rPr>
        <w:t xml:space="preserve"> </w:t>
      </w:r>
      <w:r w:rsidR="00AB2680" w:rsidRPr="00793A4A">
        <w:rPr>
          <w:rFonts w:ascii="Times New Roman" w:hAnsi="Times New Roman"/>
          <w:sz w:val="24"/>
          <w:szCs w:val="24"/>
        </w:rPr>
        <w:t>Mincer’s</w:t>
      </w:r>
      <w:r w:rsidR="00F9041B" w:rsidRPr="00793A4A">
        <w:rPr>
          <w:rFonts w:ascii="Times New Roman" w:hAnsi="Times New Roman"/>
          <w:sz w:val="24"/>
          <w:szCs w:val="24"/>
        </w:rPr>
        <w:t xml:space="preserve"> methodology.</w:t>
      </w:r>
      <w:r w:rsidR="00AB2680" w:rsidRPr="00793A4A">
        <w:rPr>
          <w:rFonts w:ascii="Times New Roman" w:hAnsi="Times New Roman"/>
          <w:sz w:val="24"/>
          <w:szCs w:val="24"/>
        </w:rPr>
        <w:t xml:space="preserve"> </w:t>
      </w:r>
    </w:p>
    <w:p w:rsidR="00AB4ACD" w:rsidRDefault="00D107E1" w:rsidP="00940760">
      <w:pPr>
        <w:spacing w:line="360" w:lineRule="auto"/>
        <w:jc w:val="both"/>
        <w:rPr>
          <w:rFonts w:ascii="Times New Roman" w:hAnsi="Times New Roman"/>
          <w:sz w:val="24"/>
          <w:szCs w:val="24"/>
        </w:rPr>
      </w:pPr>
      <w:r>
        <w:rPr>
          <w:rFonts w:ascii="Times New Roman" w:hAnsi="Times New Roman"/>
          <w:sz w:val="24"/>
          <w:szCs w:val="24"/>
        </w:rPr>
        <w:t>However, t</w:t>
      </w:r>
      <w:r w:rsidR="00C93995">
        <w:rPr>
          <w:rFonts w:ascii="Times New Roman" w:hAnsi="Times New Roman"/>
          <w:sz w:val="24"/>
          <w:szCs w:val="24"/>
        </w:rPr>
        <w:t>here are a number of important issues linked</w:t>
      </w:r>
      <w:r w:rsidR="002A45A4">
        <w:rPr>
          <w:rFonts w:ascii="Times New Roman" w:hAnsi="Times New Roman"/>
          <w:sz w:val="24"/>
          <w:szCs w:val="24"/>
        </w:rPr>
        <w:t xml:space="preserve"> to the interpretation of the numbers produced</w:t>
      </w:r>
      <w:r w:rsidR="00C93995">
        <w:rPr>
          <w:rFonts w:ascii="Times New Roman" w:hAnsi="Times New Roman"/>
          <w:sz w:val="24"/>
          <w:szCs w:val="24"/>
        </w:rPr>
        <w:t>.</w:t>
      </w:r>
      <w:r w:rsidR="002A45A4">
        <w:rPr>
          <w:rFonts w:ascii="Times New Roman" w:hAnsi="Times New Roman"/>
          <w:sz w:val="24"/>
          <w:szCs w:val="24"/>
        </w:rPr>
        <w:t xml:space="preserve"> These issues are, in turn, </w:t>
      </w:r>
      <w:r w:rsidR="004112F6">
        <w:rPr>
          <w:rFonts w:ascii="Times New Roman" w:hAnsi="Times New Roman"/>
          <w:sz w:val="24"/>
          <w:szCs w:val="24"/>
        </w:rPr>
        <w:t xml:space="preserve">the relationship between levels of education and acquisition of skills </w:t>
      </w:r>
      <w:r w:rsidR="00E44417">
        <w:rPr>
          <w:rFonts w:ascii="Times New Roman" w:hAnsi="Times New Roman"/>
          <w:sz w:val="24"/>
          <w:szCs w:val="24"/>
        </w:rPr>
        <w:t xml:space="preserve">the problem of establishing causation, </w:t>
      </w:r>
      <w:r w:rsidR="002A45A4">
        <w:rPr>
          <w:rFonts w:ascii="Times New Roman" w:hAnsi="Times New Roman"/>
          <w:sz w:val="24"/>
          <w:szCs w:val="24"/>
        </w:rPr>
        <w:t xml:space="preserve">and the distribution of returns around the average given by wage equations.  </w:t>
      </w:r>
      <w:r w:rsidR="004112F6">
        <w:rPr>
          <w:rFonts w:ascii="Times New Roman" w:hAnsi="Times New Roman"/>
          <w:sz w:val="24"/>
          <w:szCs w:val="24"/>
        </w:rPr>
        <w:t xml:space="preserve">Sections 4 to 6 </w:t>
      </w:r>
      <w:r w:rsidR="002A45A4">
        <w:rPr>
          <w:rFonts w:ascii="Times New Roman" w:hAnsi="Times New Roman"/>
          <w:sz w:val="24"/>
          <w:szCs w:val="24"/>
        </w:rPr>
        <w:t>discuss</w:t>
      </w:r>
      <w:r w:rsidR="007D5CBE">
        <w:rPr>
          <w:rFonts w:ascii="Times New Roman" w:hAnsi="Times New Roman"/>
          <w:sz w:val="24"/>
          <w:szCs w:val="24"/>
        </w:rPr>
        <w:t>es</w:t>
      </w:r>
      <w:r w:rsidR="00C93995">
        <w:rPr>
          <w:rFonts w:ascii="Times New Roman" w:hAnsi="Times New Roman"/>
          <w:sz w:val="24"/>
          <w:szCs w:val="24"/>
        </w:rPr>
        <w:t xml:space="preserve"> </w:t>
      </w:r>
      <w:r w:rsidR="002A45A4">
        <w:rPr>
          <w:rFonts w:ascii="Times New Roman" w:hAnsi="Times New Roman"/>
          <w:sz w:val="24"/>
          <w:szCs w:val="24"/>
        </w:rPr>
        <w:t>these issues</w:t>
      </w:r>
      <w:r w:rsidR="004112F6">
        <w:rPr>
          <w:rFonts w:ascii="Times New Roman" w:hAnsi="Times New Roman"/>
          <w:sz w:val="24"/>
          <w:szCs w:val="24"/>
        </w:rPr>
        <w:t>.</w:t>
      </w:r>
      <w:r w:rsidR="002A45A4">
        <w:rPr>
          <w:rFonts w:ascii="Times New Roman" w:hAnsi="Times New Roman"/>
          <w:sz w:val="24"/>
          <w:szCs w:val="24"/>
        </w:rPr>
        <w:t xml:space="preserve"> </w:t>
      </w:r>
      <w:r w:rsidR="004112F6">
        <w:rPr>
          <w:rFonts w:ascii="Times New Roman" w:hAnsi="Times New Roman"/>
          <w:sz w:val="24"/>
          <w:szCs w:val="24"/>
        </w:rPr>
        <w:t xml:space="preserve">This chapter argues that despite efforts to deal with these problems, much is left unresolved, </w:t>
      </w:r>
      <w:r w:rsidR="00BB627A">
        <w:rPr>
          <w:rFonts w:ascii="Times New Roman" w:hAnsi="Times New Roman"/>
          <w:sz w:val="24"/>
          <w:szCs w:val="24"/>
        </w:rPr>
        <w:t xml:space="preserve">in part because </w:t>
      </w:r>
      <w:r w:rsidR="004112F6">
        <w:rPr>
          <w:rFonts w:ascii="Times New Roman" w:hAnsi="Times New Roman"/>
          <w:sz w:val="24"/>
          <w:szCs w:val="24"/>
        </w:rPr>
        <w:t>issues around the demand for the available supply of productive skills are</w:t>
      </w:r>
      <w:r w:rsidR="00BB627A">
        <w:rPr>
          <w:rFonts w:ascii="Times New Roman" w:hAnsi="Times New Roman"/>
          <w:sz w:val="24"/>
          <w:szCs w:val="24"/>
        </w:rPr>
        <w:t xml:space="preserve"> largely overlooked.</w:t>
      </w:r>
    </w:p>
    <w:p w:rsidR="007D11C9" w:rsidRDefault="004112F6" w:rsidP="007D11C9">
      <w:pPr>
        <w:spacing w:line="360" w:lineRule="auto"/>
        <w:jc w:val="both"/>
        <w:rPr>
          <w:rFonts w:ascii="Times New Roman" w:hAnsi="Times New Roman"/>
          <w:sz w:val="24"/>
          <w:szCs w:val="24"/>
        </w:rPr>
      </w:pPr>
      <w:r>
        <w:rPr>
          <w:rFonts w:ascii="Times New Roman" w:hAnsi="Times New Roman"/>
          <w:sz w:val="24"/>
          <w:szCs w:val="24"/>
        </w:rPr>
        <w:t>The majority of what follows draws on</w:t>
      </w:r>
      <w:r w:rsidR="00FB44D9">
        <w:rPr>
          <w:rFonts w:ascii="Times New Roman" w:hAnsi="Times New Roman"/>
          <w:sz w:val="24"/>
          <w:szCs w:val="24"/>
        </w:rPr>
        <w:t xml:space="preserve"> research relating to skills developed in the education and training system. Many of these skills are general in the</w:t>
      </w:r>
      <w:r w:rsidR="00FB44D9" w:rsidRPr="00FB44D9">
        <w:rPr>
          <w:rFonts w:ascii="Times New Roman" w:hAnsi="Times New Roman"/>
          <w:sz w:val="24"/>
          <w:szCs w:val="24"/>
        </w:rPr>
        <w:t xml:space="preserve"> </w:t>
      </w:r>
      <w:r w:rsidR="00FB44D9" w:rsidRPr="00793A4A">
        <w:rPr>
          <w:rFonts w:ascii="Times New Roman" w:hAnsi="Times New Roman"/>
          <w:sz w:val="24"/>
          <w:szCs w:val="24"/>
        </w:rPr>
        <w:t xml:space="preserve">sense that they raise </w:t>
      </w:r>
      <w:r w:rsidR="00FB44D9">
        <w:rPr>
          <w:rFonts w:ascii="Times New Roman" w:hAnsi="Times New Roman"/>
          <w:sz w:val="24"/>
          <w:szCs w:val="24"/>
        </w:rPr>
        <w:t xml:space="preserve">productivity </w:t>
      </w:r>
      <w:r w:rsidR="00FB44D9" w:rsidRPr="00793A4A">
        <w:rPr>
          <w:rFonts w:ascii="Times New Roman" w:hAnsi="Times New Roman"/>
          <w:sz w:val="24"/>
          <w:szCs w:val="24"/>
        </w:rPr>
        <w:t xml:space="preserve">across a number of potential employers, occupations or industries. Of course, the generality of skills </w:t>
      </w:r>
      <w:r w:rsidR="00D403D4">
        <w:rPr>
          <w:rFonts w:ascii="Times New Roman" w:hAnsi="Times New Roman"/>
          <w:sz w:val="24"/>
          <w:szCs w:val="24"/>
        </w:rPr>
        <w:t>such as</w:t>
      </w:r>
      <w:r w:rsidR="00FB44D9" w:rsidRPr="00793A4A">
        <w:rPr>
          <w:rFonts w:ascii="Times New Roman" w:hAnsi="Times New Roman"/>
          <w:sz w:val="24"/>
          <w:szCs w:val="24"/>
        </w:rPr>
        <w:t xml:space="preserve"> being able to speak the native language is greater than the ability to tile bathrooms or argue a legal case in court.</w:t>
      </w:r>
      <w:r w:rsidR="00FB44D9" w:rsidRPr="00FB44D9">
        <w:rPr>
          <w:rFonts w:ascii="Times New Roman" w:hAnsi="Times New Roman"/>
          <w:sz w:val="24"/>
          <w:szCs w:val="24"/>
        </w:rPr>
        <w:t xml:space="preserve"> </w:t>
      </w:r>
      <w:r w:rsidR="00FB44D9" w:rsidRPr="00793A4A">
        <w:rPr>
          <w:rFonts w:ascii="Times New Roman" w:hAnsi="Times New Roman"/>
          <w:sz w:val="24"/>
          <w:szCs w:val="24"/>
        </w:rPr>
        <w:t>However, the common feature</w:t>
      </w:r>
      <w:r w:rsidR="00FB44D9">
        <w:rPr>
          <w:rFonts w:ascii="Times New Roman" w:hAnsi="Times New Roman"/>
          <w:sz w:val="24"/>
          <w:szCs w:val="24"/>
        </w:rPr>
        <w:t xml:space="preserve"> is</w:t>
      </w:r>
      <w:r w:rsidR="00FB44D9" w:rsidRPr="00793A4A">
        <w:rPr>
          <w:rFonts w:ascii="Times New Roman" w:hAnsi="Times New Roman"/>
          <w:sz w:val="24"/>
          <w:szCs w:val="24"/>
        </w:rPr>
        <w:t xml:space="preserve"> that an employer </w:t>
      </w:r>
      <w:r w:rsidR="00FB44D9">
        <w:rPr>
          <w:rFonts w:ascii="Times New Roman" w:hAnsi="Times New Roman"/>
          <w:sz w:val="24"/>
          <w:szCs w:val="24"/>
        </w:rPr>
        <w:t>would be</w:t>
      </w:r>
      <w:r w:rsidR="00FB44D9" w:rsidRPr="00793A4A">
        <w:rPr>
          <w:rFonts w:ascii="Times New Roman" w:hAnsi="Times New Roman"/>
          <w:sz w:val="24"/>
          <w:szCs w:val="24"/>
        </w:rPr>
        <w:t xml:space="preserve"> wary of helping towards the</w:t>
      </w:r>
      <w:r w:rsidR="00FB44D9">
        <w:rPr>
          <w:rFonts w:ascii="Times New Roman" w:hAnsi="Times New Roman"/>
          <w:sz w:val="24"/>
          <w:szCs w:val="24"/>
        </w:rPr>
        <w:t xml:space="preserve"> cost of such skill investments</w:t>
      </w:r>
      <w:r w:rsidR="00FB44D9" w:rsidRPr="00793A4A">
        <w:rPr>
          <w:rFonts w:ascii="Times New Roman" w:hAnsi="Times New Roman"/>
          <w:sz w:val="24"/>
          <w:szCs w:val="24"/>
        </w:rPr>
        <w:t xml:space="preserve"> in case </w:t>
      </w:r>
      <w:r w:rsidR="00FB44D9">
        <w:rPr>
          <w:rFonts w:ascii="Times New Roman" w:hAnsi="Times New Roman"/>
          <w:sz w:val="24"/>
          <w:szCs w:val="24"/>
        </w:rPr>
        <w:t>the worker left and took their skills to a rival firm</w:t>
      </w:r>
      <w:r w:rsidR="00FB44D9" w:rsidRPr="00793A4A">
        <w:rPr>
          <w:rFonts w:ascii="Times New Roman" w:hAnsi="Times New Roman"/>
          <w:sz w:val="24"/>
          <w:szCs w:val="24"/>
        </w:rPr>
        <w:t>.</w:t>
      </w:r>
      <w:r w:rsidR="00FB44D9">
        <w:rPr>
          <w:rFonts w:ascii="Times New Roman" w:hAnsi="Times New Roman"/>
          <w:sz w:val="24"/>
          <w:szCs w:val="24"/>
        </w:rPr>
        <w:t xml:space="preserve"> Hence, general skills are </w:t>
      </w:r>
      <w:r w:rsidR="007D11C9">
        <w:rPr>
          <w:rFonts w:ascii="Times New Roman" w:hAnsi="Times New Roman"/>
          <w:sz w:val="24"/>
          <w:szCs w:val="24"/>
        </w:rPr>
        <w:t xml:space="preserve">usually </w:t>
      </w:r>
      <w:r w:rsidR="00FB44D9">
        <w:rPr>
          <w:rFonts w:ascii="Times New Roman" w:hAnsi="Times New Roman"/>
          <w:sz w:val="24"/>
          <w:szCs w:val="24"/>
        </w:rPr>
        <w:t>produced prior to entering employment and are paid for by individuals or the state.</w:t>
      </w:r>
      <w:r w:rsidR="007D11C9" w:rsidRPr="007D11C9">
        <w:rPr>
          <w:rFonts w:ascii="Times New Roman" w:hAnsi="Times New Roman"/>
          <w:sz w:val="24"/>
          <w:szCs w:val="24"/>
        </w:rPr>
        <w:t xml:space="preserve"> </w:t>
      </w:r>
      <w:r w:rsidR="007D11C9">
        <w:rPr>
          <w:rFonts w:ascii="Times New Roman" w:hAnsi="Times New Roman"/>
          <w:sz w:val="24"/>
          <w:szCs w:val="24"/>
        </w:rPr>
        <w:t xml:space="preserve">In contrast, firms do pay for training where they feel they can retain the trainee, which is much more likely if the skills produced are only really valuable in that firm. In this final section, I consider the investment in skills that takes place once individuals have entered the workplace. </w:t>
      </w:r>
    </w:p>
    <w:p w:rsidR="00DD3983" w:rsidRPr="00793A4A" w:rsidRDefault="00DD3983" w:rsidP="00940760">
      <w:pPr>
        <w:spacing w:line="360" w:lineRule="auto"/>
        <w:jc w:val="both"/>
        <w:rPr>
          <w:rFonts w:ascii="Times New Roman" w:hAnsi="Times New Roman"/>
          <w:sz w:val="24"/>
          <w:szCs w:val="24"/>
        </w:rPr>
      </w:pPr>
      <w:r>
        <w:rPr>
          <w:rFonts w:ascii="Times New Roman" w:hAnsi="Times New Roman"/>
          <w:sz w:val="24"/>
          <w:szCs w:val="24"/>
        </w:rPr>
        <w:t xml:space="preserve">This section argues that interpreting such research is very difficult, especially from the perspective of policymaking. </w:t>
      </w:r>
      <w:r w:rsidR="007D11C9">
        <w:rPr>
          <w:rFonts w:ascii="Times New Roman" w:hAnsi="Times New Roman"/>
          <w:sz w:val="24"/>
          <w:szCs w:val="24"/>
        </w:rPr>
        <w:t>Workplace</w:t>
      </w:r>
      <w:r>
        <w:rPr>
          <w:rFonts w:ascii="Times New Roman" w:hAnsi="Times New Roman"/>
          <w:sz w:val="24"/>
          <w:szCs w:val="24"/>
        </w:rPr>
        <w:t xml:space="preserve"> training is often closely linked to the unique</w:t>
      </w:r>
      <w:r w:rsidR="00DE10DC">
        <w:rPr>
          <w:rFonts w:ascii="Times New Roman" w:hAnsi="Times New Roman"/>
          <w:sz w:val="24"/>
          <w:szCs w:val="24"/>
        </w:rPr>
        <w:t xml:space="preserve"> arrange</w:t>
      </w:r>
      <w:r w:rsidR="00700449">
        <w:rPr>
          <w:rFonts w:ascii="Times New Roman" w:hAnsi="Times New Roman"/>
          <w:sz w:val="24"/>
          <w:szCs w:val="24"/>
        </w:rPr>
        <w:t>ments within a firm. Employers invest in training where the work they do will employ the skills produced</w:t>
      </w:r>
      <w:r>
        <w:rPr>
          <w:rFonts w:ascii="Times New Roman" w:hAnsi="Times New Roman"/>
          <w:sz w:val="24"/>
          <w:szCs w:val="24"/>
        </w:rPr>
        <w:t>.</w:t>
      </w:r>
      <w:r w:rsidR="00700449">
        <w:rPr>
          <w:rFonts w:ascii="Times New Roman" w:hAnsi="Times New Roman"/>
          <w:sz w:val="24"/>
          <w:szCs w:val="24"/>
        </w:rPr>
        <w:t xml:space="preserve"> Government-run or funded training programmes can only be an imperfect substitute for </w:t>
      </w:r>
      <w:r w:rsidR="007D11C9">
        <w:rPr>
          <w:rFonts w:ascii="Times New Roman" w:hAnsi="Times New Roman"/>
          <w:sz w:val="24"/>
          <w:szCs w:val="24"/>
        </w:rPr>
        <w:t>such</w:t>
      </w:r>
      <w:r w:rsidR="00700449">
        <w:rPr>
          <w:rFonts w:ascii="Times New Roman" w:hAnsi="Times New Roman"/>
          <w:sz w:val="24"/>
          <w:szCs w:val="24"/>
        </w:rPr>
        <w:t xml:space="preserve"> training unless there is some guarantee that the skills will be used within the jobs that are available. </w:t>
      </w:r>
      <w:r>
        <w:rPr>
          <w:rFonts w:ascii="Times New Roman" w:hAnsi="Times New Roman"/>
          <w:sz w:val="24"/>
          <w:szCs w:val="24"/>
        </w:rPr>
        <w:t xml:space="preserve">If we believe that the incidence and quality of firm training is too low, </w:t>
      </w:r>
      <w:r>
        <w:rPr>
          <w:rFonts w:ascii="Times New Roman" w:hAnsi="Times New Roman"/>
          <w:sz w:val="24"/>
          <w:szCs w:val="24"/>
        </w:rPr>
        <w:lastRenderedPageBreak/>
        <w:t>it is not simply a case of public investment in programmes. The challenge in this situation is creating both the demand and the supply</w:t>
      </w:r>
      <w:r w:rsidR="00700449">
        <w:rPr>
          <w:rFonts w:ascii="Times New Roman" w:hAnsi="Times New Roman"/>
          <w:sz w:val="24"/>
          <w:szCs w:val="24"/>
        </w:rPr>
        <w:t xml:space="preserve"> for skills.</w:t>
      </w:r>
    </w:p>
    <w:p w:rsidR="00CF4631" w:rsidRPr="00793A4A" w:rsidRDefault="00E024AD" w:rsidP="00940760">
      <w:pPr>
        <w:spacing w:line="360" w:lineRule="auto"/>
        <w:jc w:val="both"/>
        <w:rPr>
          <w:rFonts w:ascii="Times New Roman" w:hAnsi="Times New Roman"/>
          <w:b/>
          <w:sz w:val="24"/>
          <w:szCs w:val="24"/>
        </w:rPr>
      </w:pPr>
      <w:r>
        <w:rPr>
          <w:rFonts w:ascii="Times New Roman" w:hAnsi="Times New Roman"/>
          <w:b/>
          <w:sz w:val="24"/>
          <w:szCs w:val="24"/>
        </w:rPr>
        <w:t xml:space="preserve">Education, </w:t>
      </w:r>
      <w:r w:rsidR="00793A4A" w:rsidRPr="00793A4A">
        <w:rPr>
          <w:rFonts w:ascii="Times New Roman" w:hAnsi="Times New Roman"/>
          <w:b/>
          <w:sz w:val="24"/>
          <w:szCs w:val="24"/>
        </w:rPr>
        <w:t>earnings</w:t>
      </w:r>
      <w:r>
        <w:rPr>
          <w:rFonts w:ascii="Times New Roman" w:hAnsi="Times New Roman"/>
          <w:b/>
          <w:sz w:val="24"/>
          <w:szCs w:val="24"/>
        </w:rPr>
        <w:t xml:space="preserve"> and employment</w:t>
      </w:r>
    </w:p>
    <w:p w:rsidR="00793A4A" w:rsidRDefault="00E024AD" w:rsidP="00940760">
      <w:pPr>
        <w:spacing w:line="360" w:lineRule="auto"/>
        <w:jc w:val="both"/>
        <w:rPr>
          <w:rFonts w:ascii="Times New Roman" w:hAnsi="Times New Roman"/>
          <w:sz w:val="24"/>
          <w:szCs w:val="24"/>
        </w:rPr>
      </w:pPr>
      <w:r>
        <w:rPr>
          <w:rFonts w:ascii="Times New Roman" w:hAnsi="Times New Roman"/>
          <w:sz w:val="24"/>
          <w:szCs w:val="24"/>
        </w:rPr>
        <w:t xml:space="preserve">The </w:t>
      </w:r>
      <w:r w:rsidR="00940760">
        <w:rPr>
          <w:rFonts w:ascii="Times New Roman" w:hAnsi="Times New Roman"/>
          <w:sz w:val="24"/>
          <w:szCs w:val="24"/>
        </w:rPr>
        <w:t>now-</w:t>
      </w:r>
      <w:r>
        <w:rPr>
          <w:rFonts w:ascii="Times New Roman" w:hAnsi="Times New Roman"/>
          <w:sz w:val="24"/>
          <w:szCs w:val="24"/>
        </w:rPr>
        <w:t>standard way of thinking about the link</w:t>
      </w:r>
      <w:r w:rsidR="00940760">
        <w:rPr>
          <w:rFonts w:ascii="Times New Roman" w:hAnsi="Times New Roman"/>
          <w:sz w:val="24"/>
          <w:szCs w:val="24"/>
        </w:rPr>
        <w:t xml:space="preserve"> between education and training</w:t>
      </w:r>
      <w:r>
        <w:rPr>
          <w:rFonts w:ascii="Times New Roman" w:hAnsi="Times New Roman"/>
          <w:sz w:val="24"/>
          <w:szCs w:val="24"/>
        </w:rPr>
        <w:t xml:space="preserve"> on the one hand, and labour market outcomes on the other is known as human capital theory, which was developed by a number of economists in the 1960s and 1970s.</w:t>
      </w:r>
      <w:r>
        <w:rPr>
          <w:rStyle w:val="FootnoteReference"/>
          <w:rFonts w:ascii="Times New Roman" w:hAnsi="Times New Roman"/>
          <w:sz w:val="24"/>
          <w:szCs w:val="24"/>
        </w:rPr>
        <w:footnoteReference w:id="1"/>
      </w:r>
      <w:r w:rsidR="00940760">
        <w:rPr>
          <w:rFonts w:ascii="Times New Roman" w:hAnsi="Times New Roman"/>
          <w:sz w:val="24"/>
          <w:szCs w:val="24"/>
        </w:rPr>
        <w:t xml:space="preserve"> </w:t>
      </w:r>
      <w:r w:rsidR="000B12FD">
        <w:rPr>
          <w:rFonts w:ascii="Times New Roman" w:hAnsi="Times New Roman"/>
          <w:sz w:val="24"/>
          <w:szCs w:val="24"/>
        </w:rPr>
        <w:t xml:space="preserve">From the point of view </w:t>
      </w:r>
      <w:r w:rsidR="006309E5">
        <w:rPr>
          <w:rFonts w:ascii="Times New Roman" w:hAnsi="Times New Roman"/>
          <w:sz w:val="24"/>
          <w:szCs w:val="24"/>
        </w:rPr>
        <w:t>of human capital theory, skills</w:t>
      </w:r>
      <w:r w:rsidR="000B12FD">
        <w:rPr>
          <w:rFonts w:ascii="Times New Roman" w:hAnsi="Times New Roman"/>
          <w:sz w:val="24"/>
          <w:szCs w:val="24"/>
        </w:rPr>
        <w:t xml:space="preserve"> deve</w:t>
      </w:r>
      <w:r w:rsidR="006309E5">
        <w:rPr>
          <w:rFonts w:ascii="Times New Roman" w:hAnsi="Times New Roman"/>
          <w:sz w:val="24"/>
          <w:szCs w:val="24"/>
        </w:rPr>
        <w:t>loped by education and training</w:t>
      </w:r>
      <w:r w:rsidR="000B12FD">
        <w:rPr>
          <w:rFonts w:ascii="Times New Roman" w:hAnsi="Times New Roman"/>
          <w:sz w:val="24"/>
          <w:szCs w:val="24"/>
        </w:rPr>
        <w:t xml:space="preserve"> increase worker productivity and generate higher wages and </w:t>
      </w:r>
      <w:r w:rsidR="006309E5">
        <w:rPr>
          <w:rFonts w:ascii="Times New Roman" w:hAnsi="Times New Roman"/>
          <w:sz w:val="24"/>
          <w:szCs w:val="24"/>
        </w:rPr>
        <w:t>better</w:t>
      </w:r>
      <w:r w:rsidR="000B12FD">
        <w:rPr>
          <w:rFonts w:ascii="Times New Roman" w:hAnsi="Times New Roman"/>
          <w:sz w:val="24"/>
          <w:szCs w:val="24"/>
        </w:rPr>
        <w:t xml:space="preserve"> employment prospects owing to the higher value employers will subsequently place on that individual. Evidence from across the world </w:t>
      </w:r>
      <w:r w:rsidR="001E0ED7">
        <w:rPr>
          <w:rFonts w:ascii="Times New Roman" w:hAnsi="Times New Roman"/>
          <w:sz w:val="24"/>
          <w:szCs w:val="24"/>
        </w:rPr>
        <w:t>is consistent with this</w:t>
      </w:r>
      <w:r w:rsidR="000B12FD">
        <w:rPr>
          <w:rFonts w:ascii="Times New Roman" w:hAnsi="Times New Roman"/>
          <w:sz w:val="24"/>
          <w:szCs w:val="24"/>
        </w:rPr>
        <w:t xml:space="preserve"> </w:t>
      </w:r>
      <w:r w:rsidR="00D403D4">
        <w:rPr>
          <w:rFonts w:ascii="Times New Roman" w:hAnsi="Times New Roman"/>
          <w:sz w:val="24"/>
          <w:szCs w:val="24"/>
        </w:rPr>
        <w:t xml:space="preserve">expectation </w:t>
      </w:r>
      <w:r w:rsidR="000B12FD">
        <w:rPr>
          <w:rFonts w:ascii="Times New Roman" w:hAnsi="Times New Roman"/>
          <w:sz w:val="24"/>
          <w:szCs w:val="24"/>
        </w:rPr>
        <w:t xml:space="preserve">– taking the average across all the developed OECD countries, an individual with </w:t>
      </w:r>
      <w:r w:rsidR="005E7790">
        <w:rPr>
          <w:rFonts w:ascii="Times New Roman" w:hAnsi="Times New Roman"/>
          <w:sz w:val="24"/>
          <w:szCs w:val="24"/>
        </w:rPr>
        <w:t>educational attainment</w:t>
      </w:r>
      <w:r w:rsidR="001E0ED7">
        <w:rPr>
          <w:rFonts w:ascii="Times New Roman" w:hAnsi="Times New Roman"/>
          <w:sz w:val="24"/>
          <w:szCs w:val="24"/>
        </w:rPr>
        <w:t xml:space="preserve"> below ISCED level 3 </w:t>
      </w:r>
      <w:r w:rsidR="005E7790">
        <w:rPr>
          <w:rFonts w:ascii="Times New Roman" w:hAnsi="Times New Roman"/>
          <w:sz w:val="24"/>
          <w:szCs w:val="24"/>
        </w:rPr>
        <w:t>earns</w:t>
      </w:r>
      <w:r w:rsidR="001E0ED7">
        <w:rPr>
          <w:rFonts w:ascii="Times New Roman" w:hAnsi="Times New Roman"/>
          <w:sz w:val="24"/>
          <w:szCs w:val="24"/>
        </w:rPr>
        <w:t>, on average,</w:t>
      </w:r>
      <w:r w:rsidR="005E7790">
        <w:rPr>
          <w:rFonts w:ascii="Times New Roman" w:hAnsi="Times New Roman"/>
          <w:sz w:val="24"/>
          <w:szCs w:val="24"/>
        </w:rPr>
        <w:t xml:space="preserve"> 23% less than an individual </w:t>
      </w:r>
      <w:r w:rsidR="006309E5">
        <w:rPr>
          <w:rFonts w:ascii="Times New Roman" w:hAnsi="Times New Roman"/>
          <w:sz w:val="24"/>
          <w:szCs w:val="24"/>
        </w:rPr>
        <w:t>with ISCED level 3 or 4</w:t>
      </w:r>
      <w:r w:rsidR="006C2756">
        <w:rPr>
          <w:rFonts w:ascii="Times New Roman" w:hAnsi="Times New Roman"/>
          <w:sz w:val="24"/>
          <w:szCs w:val="24"/>
        </w:rPr>
        <w:t>.</w:t>
      </w:r>
      <w:r w:rsidR="006C2756">
        <w:rPr>
          <w:rStyle w:val="FootnoteReference"/>
          <w:rFonts w:ascii="Times New Roman" w:hAnsi="Times New Roman"/>
          <w:sz w:val="24"/>
          <w:szCs w:val="24"/>
        </w:rPr>
        <w:footnoteReference w:id="2"/>
      </w:r>
      <w:r w:rsidR="006C2756">
        <w:rPr>
          <w:rFonts w:ascii="Times New Roman" w:hAnsi="Times New Roman"/>
          <w:sz w:val="24"/>
          <w:szCs w:val="24"/>
        </w:rPr>
        <w:t xml:space="preserve"> They are also less likely to be in employment – someone with only lower secondary (ISCED level 2) education</w:t>
      </w:r>
      <w:r w:rsidR="006309E5">
        <w:rPr>
          <w:rFonts w:ascii="Times New Roman" w:hAnsi="Times New Roman"/>
          <w:sz w:val="24"/>
          <w:szCs w:val="24"/>
        </w:rPr>
        <w:t xml:space="preserve"> </w:t>
      </w:r>
      <w:r w:rsidR="001E0ED7">
        <w:rPr>
          <w:rFonts w:ascii="Times New Roman" w:hAnsi="Times New Roman"/>
          <w:sz w:val="24"/>
          <w:szCs w:val="24"/>
        </w:rPr>
        <w:t>is</w:t>
      </w:r>
      <w:r w:rsidR="006309E5">
        <w:rPr>
          <w:rFonts w:ascii="Times New Roman" w:hAnsi="Times New Roman"/>
          <w:sz w:val="24"/>
          <w:szCs w:val="24"/>
        </w:rPr>
        <w:t xml:space="preserve"> </w:t>
      </w:r>
      <w:r w:rsidR="006C2756">
        <w:rPr>
          <w:rFonts w:ascii="Times New Roman" w:hAnsi="Times New Roman"/>
          <w:sz w:val="24"/>
          <w:szCs w:val="24"/>
        </w:rPr>
        <w:t>19% less</w:t>
      </w:r>
      <w:r w:rsidR="006309E5">
        <w:rPr>
          <w:rFonts w:ascii="Times New Roman" w:hAnsi="Times New Roman"/>
          <w:sz w:val="24"/>
          <w:szCs w:val="24"/>
        </w:rPr>
        <w:t xml:space="preserve"> likely to be employed rather than unemployed or economically inactive</w:t>
      </w:r>
      <w:r w:rsidR="006C2756">
        <w:rPr>
          <w:rFonts w:ascii="Times New Roman" w:hAnsi="Times New Roman"/>
          <w:sz w:val="24"/>
          <w:szCs w:val="24"/>
        </w:rPr>
        <w:t xml:space="preserve"> than someone with ISCED level 3A</w:t>
      </w:r>
      <w:r w:rsidR="006C2756">
        <w:rPr>
          <w:rStyle w:val="FootnoteReference"/>
          <w:rFonts w:ascii="Times New Roman" w:hAnsi="Times New Roman"/>
          <w:sz w:val="24"/>
          <w:szCs w:val="24"/>
        </w:rPr>
        <w:footnoteReference w:id="3"/>
      </w:r>
      <w:r w:rsidR="006309E5">
        <w:rPr>
          <w:rFonts w:ascii="Times New Roman" w:hAnsi="Times New Roman"/>
          <w:sz w:val="24"/>
          <w:szCs w:val="24"/>
        </w:rPr>
        <w:t>.</w:t>
      </w:r>
      <w:r w:rsidR="00727577">
        <w:rPr>
          <w:rFonts w:ascii="Times New Roman" w:hAnsi="Times New Roman"/>
          <w:sz w:val="24"/>
          <w:szCs w:val="24"/>
        </w:rPr>
        <w:t xml:space="preserve"> T</w:t>
      </w:r>
      <w:r w:rsidR="006309E5">
        <w:rPr>
          <w:rFonts w:ascii="Times New Roman" w:hAnsi="Times New Roman"/>
          <w:sz w:val="24"/>
          <w:szCs w:val="24"/>
        </w:rPr>
        <w:t xml:space="preserve">hose with high levels of vocational education (ISCED 5B) earn, on average, 24% than those at ISCED level 3 or 4 </w:t>
      </w:r>
      <w:r w:rsidR="00727577">
        <w:rPr>
          <w:rFonts w:ascii="Times New Roman" w:hAnsi="Times New Roman"/>
          <w:sz w:val="24"/>
          <w:szCs w:val="24"/>
        </w:rPr>
        <w:t xml:space="preserve">are </w:t>
      </w:r>
      <w:r w:rsidR="007B2119">
        <w:rPr>
          <w:rFonts w:ascii="Times New Roman" w:hAnsi="Times New Roman"/>
          <w:sz w:val="24"/>
          <w:szCs w:val="24"/>
        </w:rPr>
        <w:t xml:space="preserve">11% </w:t>
      </w:r>
      <w:r w:rsidR="00727577">
        <w:rPr>
          <w:rFonts w:ascii="Times New Roman" w:hAnsi="Times New Roman"/>
          <w:sz w:val="24"/>
          <w:szCs w:val="24"/>
        </w:rPr>
        <w:t>more likely to be in employment</w:t>
      </w:r>
      <w:r w:rsidR="007B2119">
        <w:rPr>
          <w:rFonts w:ascii="Times New Roman" w:hAnsi="Times New Roman"/>
          <w:sz w:val="24"/>
          <w:szCs w:val="24"/>
        </w:rPr>
        <w:t xml:space="preserve"> than someone with upper secondary (ISCED 3A) education only</w:t>
      </w:r>
      <w:r w:rsidR="006309E5">
        <w:rPr>
          <w:rFonts w:ascii="Times New Roman" w:hAnsi="Times New Roman"/>
          <w:sz w:val="24"/>
          <w:szCs w:val="24"/>
        </w:rPr>
        <w:t xml:space="preserve">. Finally, those with first and higher degrees (ISCED 5A and 6) earn 65% more on </w:t>
      </w:r>
      <w:r w:rsidR="00727577">
        <w:rPr>
          <w:rFonts w:ascii="Times New Roman" w:hAnsi="Times New Roman"/>
          <w:sz w:val="24"/>
          <w:szCs w:val="24"/>
        </w:rPr>
        <w:t xml:space="preserve">average than workers with level 3 or 4, with employment rates </w:t>
      </w:r>
      <w:r w:rsidR="007B2119">
        <w:rPr>
          <w:rFonts w:ascii="Times New Roman" w:hAnsi="Times New Roman"/>
          <w:sz w:val="24"/>
          <w:szCs w:val="24"/>
        </w:rPr>
        <w:t>16%</w:t>
      </w:r>
      <w:r w:rsidR="00727577">
        <w:rPr>
          <w:rFonts w:ascii="Times New Roman" w:hAnsi="Times New Roman"/>
          <w:sz w:val="24"/>
          <w:szCs w:val="24"/>
        </w:rPr>
        <w:t xml:space="preserve"> higher</w:t>
      </w:r>
      <w:r w:rsidR="007B2119">
        <w:rPr>
          <w:rFonts w:ascii="Times New Roman" w:hAnsi="Times New Roman"/>
          <w:sz w:val="24"/>
          <w:szCs w:val="24"/>
        </w:rPr>
        <w:t xml:space="preserve"> than a person with upper secondary education</w:t>
      </w:r>
      <w:r w:rsidR="00727577">
        <w:rPr>
          <w:rFonts w:ascii="Times New Roman" w:hAnsi="Times New Roman"/>
          <w:sz w:val="24"/>
          <w:szCs w:val="24"/>
        </w:rPr>
        <w:t xml:space="preserve">. </w:t>
      </w:r>
    </w:p>
    <w:p w:rsidR="00793A4A" w:rsidRPr="00793A4A" w:rsidRDefault="00793A4A" w:rsidP="00940760">
      <w:pPr>
        <w:spacing w:line="360" w:lineRule="auto"/>
        <w:jc w:val="both"/>
        <w:rPr>
          <w:rFonts w:ascii="Times New Roman" w:hAnsi="Times New Roman"/>
          <w:i/>
          <w:sz w:val="24"/>
          <w:szCs w:val="24"/>
        </w:rPr>
      </w:pPr>
      <w:r w:rsidRPr="00793A4A">
        <w:rPr>
          <w:rFonts w:ascii="Times New Roman" w:hAnsi="Times New Roman"/>
          <w:i/>
          <w:sz w:val="24"/>
          <w:szCs w:val="24"/>
        </w:rPr>
        <w:t xml:space="preserve">Figure </w:t>
      </w:r>
      <w:r w:rsidR="00C93995">
        <w:rPr>
          <w:rFonts w:ascii="Times New Roman" w:hAnsi="Times New Roman"/>
          <w:i/>
          <w:sz w:val="24"/>
          <w:szCs w:val="24"/>
        </w:rPr>
        <w:t>2.</w:t>
      </w:r>
      <w:r w:rsidRPr="00793A4A">
        <w:rPr>
          <w:rFonts w:ascii="Times New Roman" w:hAnsi="Times New Roman"/>
          <w:i/>
          <w:sz w:val="24"/>
          <w:szCs w:val="24"/>
        </w:rPr>
        <w:t>1</w:t>
      </w:r>
      <w:r w:rsidR="00C93995">
        <w:rPr>
          <w:rFonts w:ascii="Times New Roman" w:hAnsi="Times New Roman"/>
          <w:i/>
          <w:sz w:val="24"/>
          <w:szCs w:val="24"/>
        </w:rPr>
        <w:t xml:space="preserve"> here</w:t>
      </w:r>
    </w:p>
    <w:p w:rsidR="00793A4A" w:rsidRDefault="00BF5F71" w:rsidP="00940760">
      <w:pPr>
        <w:spacing w:line="360" w:lineRule="auto"/>
        <w:jc w:val="both"/>
        <w:rPr>
          <w:rFonts w:ascii="Times New Roman" w:hAnsi="Times New Roman"/>
          <w:sz w:val="24"/>
          <w:szCs w:val="24"/>
        </w:rPr>
      </w:pPr>
      <w:r>
        <w:rPr>
          <w:rFonts w:ascii="Times New Roman" w:hAnsi="Times New Roman"/>
          <w:sz w:val="24"/>
          <w:szCs w:val="24"/>
        </w:rPr>
        <w:t xml:space="preserve">Figure 2.1 shows </w:t>
      </w:r>
      <w:r w:rsidR="007D5CBE">
        <w:rPr>
          <w:rFonts w:ascii="Times New Roman" w:hAnsi="Times New Roman"/>
          <w:sz w:val="24"/>
          <w:szCs w:val="24"/>
        </w:rPr>
        <w:t xml:space="preserve">that </w:t>
      </w:r>
      <w:r>
        <w:rPr>
          <w:rFonts w:ascii="Times New Roman" w:hAnsi="Times New Roman"/>
          <w:sz w:val="24"/>
          <w:szCs w:val="24"/>
        </w:rPr>
        <w:t xml:space="preserve">there is considerable variation across countries within the OECD. For higher education, the Scandinavian countries of Norway, Sweden and Denmark have the lowest wage gap of around 30-40% above those with ISCED 3-4 level qualification, while at the upper </w:t>
      </w:r>
      <w:r>
        <w:rPr>
          <w:rFonts w:ascii="Times New Roman" w:hAnsi="Times New Roman"/>
          <w:sz w:val="24"/>
          <w:szCs w:val="24"/>
        </w:rPr>
        <w:lastRenderedPageBreak/>
        <w:t>end countries like the UK, Germany and the USA see earnings pr</w:t>
      </w:r>
      <w:r w:rsidR="00A77CDD">
        <w:rPr>
          <w:rFonts w:ascii="Times New Roman" w:hAnsi="Times New Roman"/>
          <w:sz w:val="24"/>
          <w:szCs w:val="24"/>
        </w:rPr>
        <w:t xml:space="preserve">emia of around 80-90%, and Ireland, Greece and Hungary </w:t>
      </w:r>
      <w:r w:rsidR="00565B20">
        <w:rPr>
          <w:rFonts w:ascii="Times New Roman" w:hAnsi="Times New Roman"/>
          <w:sz w:val="24"/>
          <w:szCs w:val="24"/>
        </w:rPr>
        <w:t xml:space="preserve">show </w:t>
      </w:r>
      <w:r w:rsidR="00A77CDD">
        <w:rPr>
          <w:rFonts w:ascii="Times New Roman" w:hAnsi="Times New Roman"/>
          <w:sz w:val="24"/>
          <w:szCs w:val="24"/>
        </w:rPr>
        <w:t>premia in excess of 100%.</w:t>
      </w:r>
      <w:r>
        <w:rPr>
          <w:rFonts w:ascii="Times New Roman" w:hAnsi="Times New Roman"/>
          <w:sz w:val="24"/>
          <w:szCs w:val="24"/>
        </w:rPr>
        <w:t xml:space="preserve"> </w:t>
      </w:r>
      <w:r w:rsidR="00A77CDD">
        <w:rPr>
          <w:rFonts w:ascii="Times New Roman" w:hAnsi="Times New Roman"/>
          <w:sz w:val="24"/>
          <w:szCs w:val="24"/>
        </w:rPr>
        <w:t xml:space="preserve">There is no obvious pattern </w:t>
      </w:r>
      <w:r w:rsidR="00B429FE">
        <w:rPr>
          <w:rFonts w:ascii="Times New Roman" w:hAnsi="Times New Roman"/>
          <w:sz w:val="24"/>
          <w:szCs w:val="24"/>
        </w:rPr>
        <w:t xml:space="preserve">or </w:t>
      </w:r>
      <w:r w:rsidR="00A77CDD">
        <w:rPr>
          <w:rFonts w:ascii="Times New Roman" w:hAnsi="Times New Roman"/>
          <w:sz w:val="24"/>
          <w:szCs w:val="24"/>
        </w:rPr>
        <w:t xml:space="preserve">correlation between these </w:t>
      </w:r>
      <w:r w:rsidR="00565B20">
        <w:rPr>
          <w:rFonts w:ascii="Times New Roman" w:hAnsi="Times New Roman"/>
          <w:sz w:val="24"/>
          <w:szCs w:val="24"/>
        </w:rPr>
        <w:t xml:space="preserve">features </w:t>
      </w:r>
      <w:r w:rsidR="00A77CDD">
        <w:rPr>
          <w:rFonts w:ascii="Times New Roman" w:hAnsi="Times New Roman"/>
          <w:sz w:val="24"/>
          <w:szCs w:val="24"/>
        </w:rPr>
        <w:t xml:space="preserve">and the wage gaps between the low and middle educated groups. For example, the three Scandinavian countries see wage premia between these two groups close to the OECD average, while Belgium, Finland, Germany and Ireland have much smaller labour market penalties for having a low level of education. There as similarly large penalties to having low levels of education in the United States and the United Kingdom as there are in countries with far lower returns to higher qualifications, such as Austria, Korea and Turkey. Finally, there is little obvious correlation between </w:t>
      </w:r>
      <w:r w:rsidR="0003696F">
        <w:rPr>
          <w:rFonts w:ascii="Times New Roman" w:hAnsi="Times New Roman"/>
          <w:sz w:val="24"/>
          <w:szCs w:val="24"/>
        </w:rPr>
        <w:t xml:space="preserve">premia </w:t>
      </w:r>
      <w:r w:rsidR="00A77CDD">
        <w:rPr>
          <w:rFonts w:ascii="Times New Roman" w:hAnsi="Times New Roman"/>
          <w:sz w:val="24"/>
          <w:szCs w:val="24"/>
        </w:rPr>
        <w:t>to the two types of tertiary education.</w:t>
      </w:r>
      <w:r w:rsidR="00876C8C">
        <w:rPr>
          <w:rFonts w:ascii="Times New Roman" w:hAnsi="Times New Roman"/>
          <w:sz w:val="24"/>
          <w:szCs w:val="24"/>
        </w:rPr>
        <w:t xml:space="preserve"> The wage benefits of vocationally orientated tertiary education are larger than the academically orientated equivalent in Norway, and are twice as large as the OECD average. Similarly</w:t>
      </w:r>
      <w:r w:rsidR="0003696F">
        <w:rPr>
          <w:rFonts w:ascii="Times New Roman" w:hAnsi="Times New Roman"/>
          <w:sz w:val="24"/>
          <w:szCs w:val="24"/>
        </w:rPr>
        <w:t>,</w:t>
      </w:r>
      <w:r w:rsidR="00876C8C">
        <w:rPr>
          <w:rFonts w:ascii="Times New Roman" w:hAnsi="Times New Roman"/>
          <w:sz w:val="24"/>
          <w:szCs w:val="24"/>
        </w:rPr>
        <w:t xml:space="preserve"> high </w:t>
      </w:r>
      <w:r w:rsidR="0003696F">
        <w:rPr>
          <w:rFonts w:ascii="Times New Roman" w:hAnsi="Times New Roman"/>
          <w:sz w:val="24"/>
          <w:szCs w:val="24"/>
        </w:rPr>
        <w:t xml:space="preserve">premia </w:t>
      </w:r>
      <w:r w:rsidR="00876C8C">
        <w:rPr>
          <w:rFonts w:ascii="Times New Roman" w:hAnsi="Times New Roman"/>
          <w:sz w:val="24"/>
          <w:szCs w:val="24"/>
        </w:rPr>
        <w:t>to vocational higher education are seen in the Netherlands (</w:t>
      </w:r>
      <w:r w:rsidR="0003696F">
        <w:rPr>
          <w:rFonts w:ascii="Times New Roman" w:hAnsi="Times New Roman"/>
          <w:sz w:val="24"/>
          <w:szCs w:val="24"/>
        </w:rPr>
        <w:t xml:space="preserve">which has moderate premia </w:t>
      </w:r>
      <w:r w:rsidR="00876C8C">
        <w:rPr>
          <w:rFonts w:ascii="Times New Roman" w:hAnsi="Times New Roman"/>
          <w:sz w:val="24"/>
          <w:szCs w:val="24"/>
        </w:rPr>
        <w:t>to academic higher education) and Portugal (</w:t>
      </w:r>
      <w:r w:rsidR="0003696F">
        <w:rPr>
          <w:rFonts w:ascii="Times New Roman" w:hAnsi="Times New Roman"/>
          <w:sz w:val="24"/>
          <w:szCs w:val="24"/>
        </w:rPr>
        <w:t xml:space="preserve">which has </w:t>
      </w:r>
      <w:r w:rsidR="00876C8C">
        <w:rPr>
          <w:rFonts w:ascii="Times New Roman" w:hAnsi="Times New Roman"/>
          <w:sz w:val="24"/>
          <w:szCs w:val="24"/>
        </w:rPr>
        <w:t xml:space="preserve">high returns to academic education). </w:t>
      </w:r>
      <w:r w:rsidR="00EC0F71">
        <w:rPr>
          <w:rFonts w:ascii="Times New Roman" w:hAnsi="Times New Roman"/>
          <w:sz w:val="24"/>
          <w:szCs w:val="24"/>
        </w:rPr>
        <w:t>For m</w:t>
      </w:r>
      <w:r w:rsidR="0003696F">
        <w:rPr>
          <w:rFonts w:ascii="Times New Roman" w:hAnsi="Times New Roman"/>
          <w:sz w:val="24"/>
          <w:szCs w:val="24"/>
        </w:rPr>
        <w:t>ost countries where there are</w:t>
      </w:r>
      <w:r w:rsidR="00876C8C">
        <w:rPr>
          <w:rFonts w:ascii="Times New Roman" w:hAnsi="Times New Roman"/>
          <w:sz w:val="24"/>
          <w:szCs w:val="24"/>
        </w:rPr>
        <w:t xml:space="preserve"> high </w:t>
      </w:r>
      <w:r w:rsidR="0003696F">
        <w:rPr>
          <w:rFonts w:ascii="Times New Roman" w:hAnsi="Times New Roman"/>
          <w:sz w:val="24"/>
          <w:szCs w:val="24"/>
        </w:rPr>
        <w:t xml:space="preserve">wage premia </w:t>
      </w:r>
      <w:r w:rsidR="00EC0F71">
        <w:rPr>
          <w:rFonts w:ascii="Times New Roman" w:hAnsi="Times New Roman"/>
          <w:sz w:val="24"/>
          <w:szCs w:val="24"/>
        </w:rPr>
        <w:t>to completing</w:t>
      </w:r>
      <w:r w:rsidR="00876C8C">
        <w:rPr>
          <w:rFonts w:ascii="Times New Roman" w:hAnsi="Times New Roman"/>
          <w:sz w:val="24"/>
          <w:szCs w:val="24"/>
        </w:rPr>
        <w:t xml:space="preserve"> academic tertiary education</w:t>
      </w:r>
      <w:r w:rsidR="0003696F">
        <w:rPr>
          <w:rFonts w:ascii="Times New Roman" w:hAnsi="Times New Roman"/>
          <w:sz w:val="24"/>
          <w:szCs w:val="24"/>
        </w:rPr>
        <w:t xml:space="preserve"> </w:t>
      </w:r>
      <w:r w:rsidR="00EC0F71">
        <w:rPr>
          <w:rFonts w:ascii="Times New Roman" w:hAnsi="Times New Roman"/>
          <w:sz w:val="24"/>
          <w:szCs w:val="24"/>
        </w:rPr>
        <w:t>wage benefits</w:t>
      </w:r>
      <w:r w:rsidR="0003696F">
        <w:rPr>
          <w:rFonts w:ascii="Times New Roman" w:hAnsi="Times New Roman"/>
          <w:sz w:val="24"/>
          <w:szCs w:val="24"/>
        </w:rPr>
        <w:t xml:space="preserve"> for higher vocational education</w:t>
      </w:r>
      <w:r w:rsidR="00EC0F71">
        <w:rPr>
          <w:rFonts w:ascii="Times New Roman" w:hAnsi="Times New Roman"/>
          <w:sz w:val="24"/>
          <w:szCs w:val="24"/>
        </w:rPr>
        <w:t xml:space="preserve"> tends to be more moderate</w:t>
      </w:r>
      <w:r w:rsidR="00876C8C">
        <w:rPr>
          <w:rFonts w:ascii="Times New Roman" w:hAnsi="Times New Roman"/>
          <w:sz w:val="24"/>
          <w:szCs w:val="24"/>
        </w:rPr>
        <w:t xml:space="preserve">, </w:t>
      </w:r>
      <w:r w:rsidR="00EC0F71">
        <w:rPr>
          <w:rFonts w:ascii="Times New Roman" w:hAnsi="Times New Roman"/>
          <w:sz w:val="24"/>
          <w:szCs w:val="24"/>
        </w:rPr>
        <w:t xml:space="preserve">and </w:t>
      </w:r>
      <w:r w:rsidR="0003696F">
        <w:rPr>
          <w:rFonts w:ascii="Times New Roman" w:hAnsi="Times New Roman"/>
          <w:sz w:val="24"/>
          <w:szCs w:val="24"/>
        </w:rPr>
        <w:t xml:space="preserve">in the </w:t>
      </w:r>
      <w:r w:rsidR="00876C8C">
        <w:rPr>
          <w:rFonts w:ascii="Times New Roman" w:hAnsi="Times New Roman"/>
          <w:sz w:val="24"/>
          <w:szCs w:val="24"/>
        </w:rPr>
        <w:t>USA, Korea</w:t>
      </w:r>
      <w:r w:rsidR="000C0565">
        <w:rPr>
          <w:rFonts w:ascii="Times New Roman" w:hAnsi="Times New Roman"/>
          <w:sz w:val="24"/>
          <w:szCs w:val="24"/>
        </w:rPr>
        <w:t>, Israel</w:t>
      </w:r>
      <w:r w:rsidR="00876C8C">
        <w:rPr>
          <w:rFonts w:ascii="Times New Roman" w:hAnsi="Times New Roman"/>
          <w:sz w:val="24"/>
          <w:szCs w:val="24"/>
        </w:rPr>
        <w:t xml:space="preserve"> and Japan</w:t>
      </w:r>
      <w:r w:rsidR="000C0565">
        <w:rPr>
          <w:rFonts w:ascii="Times New Roman" w:hAnsi="Times New Roman"/>
          <w:sz w:val="24"/>
          <w:szCs w:val="24"/>
        </w:rPr>
        <w:t xml:space="preserve">, these </w:t>
      </w:r>
      <w:r w:rsidR="00EC0F71">
        <w:rPr>
          <w:rFonts w:ascii="Times New Roman" w:hAnsi="Times New Roman"/>
          <w:sz w:val="24"/>
          <w:szCs w:val="24"/>
        </w:rPr>
        <w:t>benefits</w:t>
      </w:r>
      <w:r w:rsidR="000C0565">
        <w:rPr>
          <w:rFonts w:ascii="Times New Roman" w:hAnsi="Times New Roman"/>
          <w:sz w:val="24"/>
          <w:szCs w:val="24"/>
        </w:rPr>
        <w:t xml:space="preserve"> are </w:t>
      </w:r>
      <w:r w:rsidR="00EC0F71">
        <w:rPr>
          <w:rFonts w:ascii="Times New Roman" w:hAnsi="Times New Roman"/>
          <w:sz w:val="24"/>
          <w:szCs w:val="24"/>
        </w:rPr>
        <w:t>particularly</w:t>
      </w:r>
      <w:r w:rsidR="000C0565">
        <w:rPr>
          <w:rFonts w:ascii="Times New Roman" w:hAnsi="Times New Roman"/>
          <w:sz w:val="24"/>
          <w:szCs w:val="24"/>
        </w:rPr>
        <w:t xml:space="preserve"> low.</w:t>
      </w:r>
      <w:r w:rsidR="00876C8C">
        <w:rPr>
          <w:rFonts w:ascii="Times New Roman" w:hAnsi="Times New Roman"/>
          <w:sz w:val="24"/>
          <w:szCs w:val="24"/>
        </w:rPr>
        <w:t xml:space="preserve"> </w:t>
      </w:r>
      <w:r w:rsidR="004112F6">
        <w:rPr>
          <w:rFonts w:ascii="Times New Roman" w:hAnsi="Times New Roman"/>
          <w:sz w:val="24"/>
          <w:szCs w:val="24"/>
        </w:rPr>
        <w:t>.</w:t>
      </w:r>
    </w:p>
    <w:p w:rsidR="007B2119" w:rsidRPr="007B2119" w:rsidRDefault="007B2119" w:rsidP="00940760">
      <w:pPr>
        <w:spacing w:line="360" w:lineRule="auto"/>
        <w:jc w:val="both"/>
        <w:rPr>
          <w:rFonts w:ascii="Times New Roman" w:hAnsi="Times New Roman"/>
          <w:i/>
          <w:sz w:val="24"/>
          <w:szCs w:val="24"/>
        </w:rPr>
      </w:pPr>
      <w:r w:rsidRPr="007B2119">
        <w:rPr>
          <w:rFonts w:ascii="Times New Roman" w:hAnsi="Times New Roman"/>
          <w:i/>
          <w:sz w:val="24"/>
          <w:szCs w:val="24"/>
        </w:rPr>
        <w:t>Figure 2.2 here</w:t>
      </w:r>
    </w:p>
    <w:p w:rsidR="00125D2A" w:rsidRDefault="00867F8F" w:rsidP="00940760">
      <w:pPr>
        <w:spacing w:line="360" w:lineRule="auto"/>
        <w:jc w:val="both"/>
        <w:rPr>
          <w:rFonts w:ascii="Times New Roman" w:hAnsi="Times New Roman"/>
          <w:sz w:val="24"/>
          <w:szCs w:val="24"/>
        </w:rPr>
      </w:pPr>
      <w:r>
        <w:rPr>
          <w:rFonts w:ascii="Times New Roman" w:hAnsi="Times New Roman"/>
          <w:sz w:val="24"/>
          <w:szCs w:val="24"/>
        </w:rPr>
        <w:t xml:space="preserve">Figures 2.2 shows that wage and employment benefits of investing in education and training do not always go hand-in-hand, which means we always need to consider both when talking about the overall </w:t>
      </w:r>
      <w:r w:rsidR="00565B20">
        <w:rPr>
          <w:rFonts w:ascii="Times New Roman" w:hAnsi="Times New Roman"/>
          <w:sz w:val="24"/>
          <w:szCs w:val="24"/>
        </w:rPr>
        <w:t>payoff</w:t>
      </w:r>
      <w:r>
        <w:rPr>
          <w:rFonts w:ascii="Times New Roman" w:hAnsi="Times New Roman"/>
          <w:sz w:val="24"/>
          <w:szCs w:val="24"/>
        </w:rPr>
        <w:t xml:space="preserve"> to </w:t>
      </w:r>
      <w:r w:rsidR="00565B20">
        <w:rPr>
          <w:rFonts w:ascii="Times New Roman" w:hAnsi="Times New Roman"/>
          <w:sz w:val="24"/>
          <w:szCs w:val="24"/>
        </w:rPr>
        <w:t>an</w:t>
      </w:r>
      <w:r>
        <w:rPr>
          <w:rFonts w:ascii="Times New Roman" w:hAnsi="Times New Roman"/>
          <w:sz w:val="24"/>
          <w:szCs w:val="24"/>
        </w:rPr>
        <w:t xml:space="preserve"> investment</w:t>
      </w:r>
      <w:r w:rsidR="007B2119">
        <w:rPr>
          <w:rFonts w:ascii="Times New Roman" w:hAnsi="Times New Roman"/>
          <w:sz w:val="24"/>
          <w:szCs w:val="24"/>
        </w:rPr>
        <w:t xml:space="preserve">. </w:t>
      </w:r>
      <w:r w:rsidR="00125D2A">
        <w:rPr>
          <w:rFonts w:ascii="Times New Roman" w:hAnsi="Times New Roman"/>
          <w:sz w:val="24"/>
          <w:szCs w:val="24"/>
        </w:rPr>
        <w:t>Ter</w:t>
      </w:r>
      <w:r w:rsidR="00E44417">
        <w:rPr>
          <w:rFonts w:ascii="Times New Roman" w:hAnsi="Times New Roman"/>
          <w:sz w:val="24"/>
          <w:szCs w:val="24"/>
        </w:rPr>
        <w:t>t</w:t>
      </w:r>
      <w:r w:rsidR="00125D2A">
        <w:rPr>
          <w:rFonts w:ascii="Times New Roman" w:hAnsi="Times New Roman"/>
          <w:sz w:val="24"/>
          <w:szCs w:val="24"/>
        </w:rPr>
        <w:t xml:space="preserve">iary education graduates in </w:t>
      </w:r>
      <w:r w:rsidR="00565B20">
        <w:rPr>
          <w:rFonts w:ascii="Times New Roman" w:hAnsi="Times New Roman"/>
          <w:sz w:val="24"/>
          <w:szCs w:val="24"/>
        </w:rPr>
        <w:t xml:space="preserve">countries </w:t>
      </w:r>
      <w:r w:rsidR="00D403D4">
        <w:rPr>
          <w:rFonts w:ascii="Times New Roman" w:hAnsi="Times New Roman"/>
          <w:sz w:val="24"/>
          <w:szCs w:val="24"/>
        </w:rPr>
        <w:t>such as</w:t>
      </w:r>
      <w:r w:rsidR="00125D2A">
        <w:rPr>
          <w:rFonts w:ascii="Times New Roman" w:hAnsi="Times New Roman"/>
          <w:sz w:val="24"/>
          <w:szCs w:val="24"/>
        </w:rPr>
        <w:t xml:space="preserve"> Germany, Greece, Turkey and Ireland experience are over 25% more likely to be in employment than high school graduates, whereas the differences in the likelihood of finding a job is below 10% in </w:t>
      </w:r>
      <w:r w:rsidR="00565B20">
        <w:rPr>
          <w:rFonts w:ascii="Times New Roman" w:hAnsi="Times New Roman"/>
          <w:sz w:val="24"/>
          <w:szCs w:val="24"/>
        </w:rPr>
        <w:t xml:space="preserve">countries </w:t>
      </w:r>
      <w:r w:rsidR="00125D2A">
        <w:rPr>
          <w:rFonts w:ascii="Times New Roman" w:hAnsi="Times New Roman"/>
          <w:sz w:val="24"/>
          <w:szCs w:val="24"/>
        </w:rPr>
        <w:t>such as the Czech Republic, New Zealand, the Netherlands, Portugal, Slovakia and the United Kingdom</w:t>
      </w:r>
      <w:r w:rsidR="00A6024F">
        <w:rPr>
          <w:rFonts w:ascii="Times New Roman" w:hAnsi="Times New Roman"/>
          <w:sz w:val="24"/>
          <w:szCs w:val="24"/>
        </w:rPr>
        <w:t xml:space="preserve">. Only a small number of countries demonstrate both large penalties to low levels of education and large benefits to high levels of education </w:t>
      </w:r>
      <w:r w:rsidR="00565B20">
        <w:rPr>
          <w:rFonts w:ascii="Times New Roman" w:hAnsi="Times New Roman"/>
          <w:sz w:val="24"/>
          <w:szCs w:val="24"/>
        </w:rPr>
        <w:t xml:space="preserve">with respect to </w:t>
      </w:r>
      <w:r w:rsidR="00A6024F">
        <w:rPr>
          <w:rFonts w:ascii="Times New Roman" w:hAnsi="Times New Roman"/>
          <w:sz w:val="24"/>
          <w:szCs w:val="24"/>
        </w:rPr>
        <w:t>employment rates, such as Ireland, the United States, Poland and Slovenia.</w:t>
      </w:r>
      <w:r>
        <w:rPr>
          <w:rFonts w:ascii="Times New Roman" w:hAnsi="Times New Roman"/>
          <w:sz w:val="24"/>
          <w:szCs w:val="24"/>
        </w:rPr>
        <w:t xml:space="preserve"> Comparing vocational and academic education at the tertiary level, </w:t>
      </w:r>
      <w:r w:rsidR="00A6024F">
        <w:rPr>
          <w:rFonts w:ascii="Times New Roman" w:hAnsi="Times New Roman"/>
          <w:sz w:val="24"/>
          <w:szCs w:val="24"/>
        </w:rPr>
        <w:t xml:space="preserve"> Germany, Switzerland, Norway and France are among the countries where </w:t>
      </w:r>
      <w:r w:rsidR="00565B20">
        <w:rPr>
          <w:rFonts w:ascii="Times New Roman" w:hAnsi="Times New Roman"/>
          <w:sz w:val="24"/>
          <w:szCs w:val="24"/>
        </w:rPr>
        <w:t xml:space="preserve">the two </w:t>
      </w:r>
      <w:r w:rsidR="00A6024F">
        <w:rPr>
          <w:rFonts w:ascii="Times New Roman" w:hAnsi="Times New Roman"/>
          <w:sz w:val="24"/>
          <w:szCs w:val="24"/>
        </w:rPr>
        <w:t>pathway</w:t>
      </w:r>
      <w:r w:rsidR="00565B20">
        <w:rPr>
          <w:rFonts w:ascii="Times New Roman" w:hAnsi="Times New Roman"/>
          <w:sz w:val="24"/>
          <w:szCs w:val="24"/>
        </w:rPr>
        <w:t>s</w:t>
      </w:r>
      <w:r w:rsidR="00A6024F">
        <w:rPr>
          <w:rFonts w:ascii="Times New Roman" w:hAnsi="Times New Roman"/>
          <w:sz w:val="24"/>
          <w:szCs w:val="24"/>
        </w:rPr>
        <w:t xml:space="preserve"> ha</w:t>
      </w:r>
      <w:r w:rsidR="00565B20">
        <w:rPr>
          <w:rFonts w:ascii="Times New Roman" w:hAnsi="Times New Roman"/>
          <w:sz w:val="24"/>
          <w:szCs w:val="24"/>
        </w:rPr>
        <w:t>ve</w:t>
      </w:r>
      <w:r w:rsidR="00A6024F">
        <w:rPr>
          <w:rFonts w:ascii="Times New Roman" w:hAnsi="Times New Roman"/>
          <w:sz w:val="24"/>
          <w:szCs w:val="24"/>
        </w:rPr>
        <w:t xml:space="preserve"> similar employment rewards, whereas the </w:t>
      </w:r>
      <w:r w:rsidR="00C8305E">
        <w:rPr>
          <w:rFonts w:ascii="Times New Roman" w:hAnsi="Times New Roman"/>
          <w:sz w:val="24"/>
          <w:szCs w:val="24"/>
        </w:rPr>
        <w:t>employment benefits</w:t>
      </w:r>
      <w:r w:rsidR="00A6024F">
        <w:rPr>
          <w:rFonts w:ascii="Times New Roman" w:hAnsi="Times New Roman"/>
          <w:sz w:val="24"/>
          <w:szCs w:val="24"/>
        </w:rPr>
        <w:t xml:space="preserve"> of tertiary graduates in places like New Zealand, Japan and Italy </w:t>
      </w:r>
      <w:r w:rsidR="00C8305E">
        <w:rPr>
          <w:rFonts w:ascii="Times New Roman" w:hAnsi="Times New Roman"/>
          <w:sz w:val="24"/>
          <w:szCs w:val="24"/>
        </w:rPr>
        <w:t xml:space="preserve">are experienced by those in </w:t>
      </w:r>
      <w:r>
        <w:rPr>
          <w:rFonts w:ascii="Times New Roman" w:hAnsi="Times New Roman"/>
          <w:sz w:val="24"/>
          <w:szCs w:val="24"/>
        </w:rPr>
        <w:t>academic</w:t>
      </w:r>
      <w:r w:rsidR="00C8305E">
        <w:rPr>
          <w:rFonts w:ascii="Times New Roman" w:hAnsi="Times New Roman"/>
          <w:sz w:val="24"/>
          <w:szCs w:val="24"/>
        </w:rPr>
        <w:t xml:space="preserve"> programmes only.</w:t>
      </w:r>
    </w:p>
    <w:p w:rsidR="00C8305E" w:rsidRPr="00793A4A" w:rsidRDefault="00C8305E" w:rsidP="00940760">
      <w:pPr>
        <w:spacing w:line="360" w:lineRule="auto"/>
        <w:jc w:val="both"/>
        <w:rPr>
          <w:rFonts w:ascii="Times New Roman" w:hAnsi="Times New Roman"/>
          <w:sz w:val="24"/>
          <w:szCs w:val="24"/>
        </w:rPr>
      </w:pPr>
      <w:r>
        <w:rPr>
          <w:rFonts w:ascii="Times New Roman" w:hAnsi="Times New Roman"/>
          <w:sz w:val="24"/>
          <w:szCs w:val="24"/>
        </w:rPr>
        <w:t>,.</w:t>
      </w:r>
    </w:p>
    <w:p w:rsidR="008B61C9" w:rsidRDefault="00AA72A3" w:rsidP="00940760">
      <w:pPr>
        <w:spacing w:line="360" w:lineRule="auto"/>
        <w:jc w:val="both"/>
        <w:rPr>
          <w:rFonts w:ascii="Times New Roman" w:hAnsi="Times New Roman"/>
          <w:sz w:val="24"/>
          <w:szCs w:val="24"/>
        </w:rPr>
      </w:pPr>
      <w:r>
        <w:rPr>
          <w:rFonts w:ascii="Times New Roman" w:hAnsi="Times New Roman"/>
          <w:sz w:val="24"/>
          <w:szCs w:val="24"/>
        </w:rPr>
        <w:lastRenderedPageBreak/>
        <w:t>How can we interpret all of this</w:t>
      </w:r>
      <w:r w:rsidR="00AD4868">
        <w:rPr>
          <w:rFonts w:ascii="Times New Roman" w:hAnsi="Times New Roman"/>
          <w:sz w:val="24"/>
          <w:szCs w:val="24"/>
        </w:rPr>
        <w:t xml:space="preserve"> variation? </w:t>
      </w:r>
      <w:r w:rsidR="008B61C9">
        <w:rPr>
          <w:rFonts w:ascii="Times New Roman" w:hAnsi="Times New Roman"/>
          <w:sz w:val="24"/>
          <w:szCs w:val="24"/>
        </w:rPr>
        <w:t xml:space="preserve">In the human capital model, wages </w:t>
      </w:r>
      <w:r w:rsidR="00C8305E">
        <w:rPr>
          <w:rFonts w:ascii="Times New Roman" w:hAnsi="Times New Roman"/>
          <w:sz w:val="24"/>
          <w:szCs w:val="24"/>
        </w:rPr>
        <w:t xml:space="preserve">and employment </w:t>
      </w:r>
      <w:r w:rsidR="008B61C9">
        <w:rPr>
          <w:rFonts w:ascii="Times New Roman" w:hAnsi="Times New Roman"/>
          <w:sz w:val="24"/>
          <w:szCs w:val="24"/>
        </w:rPr>
        <w:t>are determined by supply and demand. The premium on skills is connected to their scarcity – some countries might meet the higher demand for skilled workers with a greater supply, which reduces the wage premium placed on those with the skills. To illustrate, Figure 2.3 compares wage premia for tertiary educational attainment with the proportion of the population with those qualifications. There is a negative correlation between supply and wages, although it is not very strong (r=0.27). Moreover, the figure shows a number of countries with high wage premia and low scarcity, and vice versa, which indicates that different supply is</w:t>
      </w:r>
      <w:r w:rsidR="00565B20">
        <w:rPr>
          <w:rFonts w:ascii="Times New Roman" w:hAnsi="Times New Roman"/>
          <w:sz w:val="24"/>
          <w:szCs w:val="24"/>
        </w:rPr>
        <w:t xml:space="preserve"> no</w:t>
      </w:r>
      <w:r w:rsidR="008B61C9">
        <w:rPr>
          <w:rFonts w:ascii="Times New Roman" w:hAnsi="Times New Roman"/>
          <w:sz w:val="24"/>
          <w:szCs w:val="24"/>
        </w:rPr>
        <w:t xml:space="preserve">t the only relevant factor. </w:t>
      </w:r>
    </w:p>
    <w:p w:rsidR="00793A4A" w:rsidRDefault="00AD4868" w:rsidP="00940760">
      <w:pPr>
        <w:spacing w:line="360" w:lineRule="auto"/>
        <w:jc w:val="both"/>
        <w:rPr>
          <w:rFonts w:ascii="Times New Roman" w:hAnsi="Times New Roman"/>
          <w:sz w:val="24"/>
          <w:szCs w:val="24"/>
        </w:rPr>
      </w:pPr>
      <w:r>
        <w:rPr>
          <w:rFonts w:ascii="Times New Roman" w:hAnsi="Times New Roman"/>
          <w:sz w:val="24"/>
          <w:szCs w:val="24"/>
        </w:rPr>
        <w:t xml:space="preserve">It </w:t>
      </w:r>
      <w:r w:rsidR="008B61C9">
        <w:rPr>
          <w:rFonts w:ascii="Times New Roman" w:hAnsi="Times New Roman"/>
          <w:sz w:val="24"/>
          <w:szCs w:val="24"/>
        </w:rPr>
        <w:t xml:space="preserve">could be that Figure 2.3 does not compare like for like </w:t>
      </w:r>
      <w:r w:rsidR="00867F8F">
        <w:rPr>
          <w:rFonts w:ascii="Times New Roman" w:hAnsi="Times New Roman"/>
          <w:sz w:val="24"/>
          <w:szCs w:val="24"/>
        </w:rPr>
        <w:t xml:space="preserve">if different educational systems produce different types and levels of skills (a point that is looked at in section 4) </w:t>
      </w:r>
      <w:r>
        <w:rPr>
          <w:rFonts w:ascii="Times New Roman" w:hAnsi="Times New Roman"/>
          <w:sz w:val="24"/>
          <w:szCs w:val="24"/>
        </w:rPr>
        <w:t xml:space="preserve">The productivity of a qualified individual also depends on </w:t>
      </w:r>
      <w:r w:rsidR="00867F8F">
        <w:rPr>
          <w:rFonts w:ascii="Times New Roman" w:hAnsi="Times New Roman"/>
          <w:sz w:val="24"/>
          <w:szCs w:val="24"/>
        </w:rPr>
        <w:t xml:space="preserve">other factors such as </w:t>
      </w:r>
      <w:r>
        <w:rPr>
          <w:rFonts w:ascii="Times New Roman" w:hAnsi="Times New Roman"/>
          <w:sz w:val="24"/>
          <w:szCs w:val="24"/>
        </w:rPr>
        <w:t xml:space="preserve">investment in capital that is complementary to work. </w:t>
      </w:r>
      <w:r w:rsidR="00382670">
        <w:rPr>
          <w:rFonts w:ascii="Times New Roman" w:hAnsi="Times New Roman"/>
          <w:sz w:val="24"/>
          <w:szCs w:val="24"/>
        </w:rPr>
        <w:t xml:space="preserve">This might explain why returns to education and training are lower in less wealthy developed countries </w:t>
      </w:r>
      <w:r w:rsidR="00D403D4">
        <w:rPr>
          <w:rFonts w:ascii="Times New Roman" w:hAnsi="Times New Roman"/>
          <w:sz w:val="24"/>
          <w:szCs w:val="24"/>
        </w:rPr>
        <w:t>such as</w:t>
      </w:r>
      <w:r w:rsidR="00382670">
        <w:rPr>
          <w:rFonts w:ascii="Times New Roman" w:hAnsi="Times New Roman"/>
          <w:sz w:val="24"/>
          <w:szCs w:val="24"/>
        </w:rPr>
        <w:t xml:space="preserve"> Turkey, but it is not a convincing explanation for the lower returns in the Scandinavian countries (or, for that matter, count</w:t>
      </w:r>
      <w:r w:rsidR="008B61C9">
        <w:rPr>
          <w:rFonts w:ascii="Times New Roman" w:hAnsi="Times New Roman"/>
          <w:sz w:val="24"/>
          <w:szCs w:val="24"/>
        </w:rPr>
        <w:t xml:space="preserve">ries </w:t>
      </w:r>
      <w:r w:rsidR="00D403D4">
        <w:rPr>
          <w:rFonts w:ascii="Times New Roman" w:hAnsi="Times New Roman"/>
          <w:sz w:val="24"/>
          <w:szCs w:val="24"/>
        </w:rPr>
        <w:t>such as</w:t>
      </w:r>
      <w:r w:rsidR="008B61C9">
        <w:rPr>
          <w:rFonts w:ascii="Times New Roman" w:hAnsi="Times New Roman"/>
          <w:sz w:val="24"/>
          <w:szCs w:val="24"/>
        </w:rPr>
        <w:t xml:space="preserve"> Belgium or Australia), compared to similarly rich countries </w:t>
      </w:r>
      <w:r w:rsidR="00D403D4">
        <w:rPr>
          <w:rFonts w:ascii="Times New Roman" w:hAnsi="Times New Roman"/>
          <w:sz w:val="24"/>
          <w:szCs w:val="24"/>
        </w:rPr>
        <w:t>such as</w:t>
      </w:r>
      <w:r w:rsidR="008B61C9">
        <w:rPr>
          <w:rFonts w:ascii="Times New Roman" w:hAnsi="Times New Roman"/>
          <w:sz w:val="24"/>
          <w:szCs w:val="24"/>
        </w:rPr>
        <w:t xml:space="preserve"> the UK and the USA.</w:t>
      </w:r>
    </w:p>
    <w:p w:rsidR="008B61C9" w:rsidRDefault="00565B20" w:rsidP="00940760">
      <w:pPr>
        <w:spacing w:line="360" w:lineRule="auto"/>
        <w:jc w:val="both"/>
        <w:rPr>
          <w:rFonts w:ascii="Times New Roman" w:hAnsi="Times New Roman"/>
          <w:sz w:val="24"/>
          <w:szCs w:val="24"/>
        </w:rPr>
      </w:pPr>
      <w:r>
        <w:rPr>
          <w:rFonts w:ascii="Times New Roman" w:hAnsi="Times New Roman"/>
          <w:sz w:val="24"/>
          <w:szCs w:val="24"/>
        </w:rPr>
        <w:t>I</w:t>
      </w:r>
      <w:r w:rsidR="008B61C9">
        <w:rPr>
          <w:rFonts w:ascii="Times New Roman" w:hAnsi="Times New Roman"/>
          <w:sz w:val="24"/>
          <w:szCs w:val="24"/>
        </w:rPr>
        <w:t>nstitutional differences across coun</w:t>
      </w:r>
      <w:r w:rsidR="00D00D4C">
        <w:rPr>
          <w:rFonts w:ascii="Times New Roman" w:hAnsi="Times New Roman"/>
          <w:sz w:val="24"/>
          <w:szCs w:val="24"/>
        </w:rPr>
        <w:t xml:space="preserve">tries that affect wage setting </w:t>
      </w:r>
      <w:r>
        <w:rPr>
          <w:rFonts w:ascii="Times New Roman" w:hAnsi="Times New Roman"/>
          <w:sz w:val="24"/>
          <w:szCs w:val="24"/>
        </w:rPr>
        <w:t>also play a role</w:t>
      </w:r>
      <w:r w:rsidR="00D00D4C">
        <w:rPr>
          <w:rFonts w:ascii="Times New Roman" w:hAnsi="Times New Roman"/>
          <w:sz w:val="24"/>
          <w:szCs w:val="24"/>
        </w:rPr>
        <w:t xml:space="preserve">. For example, the Scandinavian countries and Belgium have </w:t>
      </w:r>
      <w:r>
        <w:rPr>
          <w:rFonts w:ascii="Times New Roman" w:hAnsi="Times New Roman"/>
          <w:sz w:val="24"/>
          <w:szCs w:val="24"/>
        </w:rPr>
        <w:t>high</w:t>
      </w:r>
      <w:r w:rsidR="00D00D4C">
        <w:rPr>
          <w:rFonts w:ascii="Times New Roman" w:hAnsi="Times New Roman"/>
          <w:sz w:val="24"/>
          <w:szCs w:val="24"/>
        </w:rPr>
        <w:t>rates of unionisation and union wage agreement coverage.</w:t>
      </w:r>
      <w:r w:rsidR="00DE70E3">
        <w:rPr>
          <w:rFonts w:ascii="Times New Roman" w:hAnsi="Times New Roman"/>
          <w:sz w:val="24"/>
          <w:szCs w:val="24"/>
        </w:rPr>
        <w:t xml:space="preserve"> Strong unions, particularly those which bargain over </w:t>
      </w:r>
      <w:r w:rsidR="00444E9C">
        <w:rPr>
          <w:rFonts w:ascii="Times New Roman" w:hAnsi="Times New Roman"/>
          <w:sz w:val="24"/>
          <w:szCs w:val="24"/>
        </w:rPr>
        <w:t>the wages of the lower and middle parts of the labour market</w:t>
      </w:r>
      <w:r w:rsidR="00DE70E3">
        <w:rPr>
          <w:rFonts w:ascii="Times New Roman" w:hAnsi="Times New Roman"/>
          <w:sz w:val="24"/>
          <w:szCs w:val="24"/>
        </w:rPr>
        <w:t xml:space="preserve">, tend </w:t>
      </w:r>
      <w:r w:rsidR="003A41F2">
        <w:rPr>
          <w:rFonts w:ascii="Times New Roman" w:hAnsi="Times New Roman"/>
          <w:sz w:val="24"/>
          <w:szCs w:val="24"/>
        </w:rPr>
        <w:t xml:space="preserve">to </w:t>
      </w:r>
      <w:r w:rsidR="00DE70E3">
        <w:rPr>
          <w:rFonts w:ascii="Times New Roman" w:hAnsi="Times New Roman"/>
          <w:sz w:val="24"/>
          <w:szCs w:val="24"/>
        </w:rPr>
        <w:t xml:space="preserve">reduce </w:t>
      </w:r>
      <w:r w:rsidR="00DA5250">
        <w:rPr>
          <w:rFonts w:ascii="Times New Roman" w:hAnsi="Times New Roman"/>
          <w:sz w:val="24"/>
          <w:szCs w:val="24"/>
        </w:rPr>
        <w:t xml:space="preserve">wage </w:t>
      </w:r>
      <w:r w:rsidR="00DE70E3" w:rsidRPr="003A41F2">
        <w:rPr>
          <w:rFonts w:ascii="Times New Roman" w:hAnsi="Times New Roman"/>
          <w:sz w:val="24"/>
          <w:szCs w:val="24"/>
        </w:rPr>
        <w:t xml:space="preserve">inequality (Checchi and </w:t>
      </w:r>
      <w:r w:rsidR="00DA5250">
        <w:rPr>
          <w:rFonts w:ascii="Times New Roman" w:hAnsi="Times New Roman"/>
          <w:sz w:val="24"/>
          <w:szCs w:val="24"/>
        </w:rPr>
        <w:t>García</w:t>
      </w:r>
      <w:r w:rsidR="00DA5250" w:rsidRPr="003A41F2">
        <w:rPr>
          <w:rFonts w:ascii="Times New Roman" w:hAnsi="Times New Roman"/>
          <w:sz w:val="24"/>
          <w:szCs w:val="24"/>
        </w:rPr>
        <w:t xml:space="preserve"> </w:t>
      </w:r>
      <w:r w:rsidR="00DE70E3" w:rsidRPr="003A41F2">
        <w:rPr>
          <w:rFonts w:ascii="Times New Roman" w:hAnsi="Times New Roman"/>
          <w:sz w:val="24"/>
          <w:szCs w:val="24"/>
        </w:rPr>
        <w:t>Peñalosa, 2005), which would be reflected in lower educational earnings premia.</w:t>
      </w:r>
      <w:r w:rsidR="00DE70E3" w:rsidRPr="003A41F2">
        <w:rPr>
          <w:rStyle w:val="FootnoteReference"/>
          <w:rFonts w:ascii="Times New Roman" w:hAnsi="Times New Roman"/>
          <w:sz w:val="24"/>
          <w:szCs w:val="24"/>
        </w:rPr>
        <w:footnoteReference w:id="4"/>
      </w:r>
      <w:r w:rsidR="00DE70E3" w:rsidRPr="003A41F2">
        <w:rPr>
          <w:rFonts w:ascii="Times New Roman" w:hAnsi="Times New Roman"/>
          <w:sz w:val="24"/>
          <w:szCs w:val="24"/>
        </w:rPr>
        <w:t xml:space="preserve"> </w:t>
      </w:r>
      <w:r w:rsidR="00D00D4C" w:rsidRPr="003A41F2">
        <w:rPr>
          <w:rFonts w:ascii="Times New Roman" w:hAnsi="Times New Roman"/>
          <w:sz w:val="24"/>
          <w:szCs w:val="24"/>
        </w:rPr>
        <w:t>Minimum wage policy would also have an impact on wages for lower skilled individuals</w:t>
      </w:r>
      <w:r w:rsidR="00DE70E3" w:rsidRPr="003A41F2">
        <w:rPr>
          <w:rFonts w:ascii="Times New Roman" w:hAnsi="Times New Roman"/>
          <w:sz w:val="24"/>
          <w:szCs w:val="24"/>
        </w:rPr>
        <w:t>, placing a floor on the potential size of the gap. Minimum wage critics have argued that such policies trade off higher pay for less productive workers with lower employment rates (</w:t>
      </w:r>
      <w:r w:rsidR="0027426B" w:rsidRPr="003A41F2">
        <w:rPr>
          <w:rFonts w:ascii="Times New Roman" w:hAnsi="Times New Roman"/>
          <w:sz w:val="24"/>
          <w:szCs w:val="24"/>
        </w:rPr>
        <w:t>Wascher and Neumark, 2012)</w:t>
      </w:r>
      <w:r w:rsidR="000611FA" w:rsidRPr="003A41F2">
        <w:rPr>
          <w:rFonts w:ascii="Times New Roman" w:hAnsi="Times New Roman"/>
          <w:sz w:val="24"/>
          <w:szCs w:val="24"/>
        </w:rPr>
        <w:t>, which would act to</w:t>
      </w:r>
      <w:r w:rsidR="00DE70E3" w:rsidRPr="003A41F2">
        <w:rPr>
          <w:rFonts w:ascii="Times New Roman" w:hAnsi="Times New Roman"/>
          <w:sz w:val="24"/>
          <w:szCs w:val="24"/>
        </w:rPr>
        <w:t xml:space="preserve"> maintaining </w:t>
      </w:r>
      <w:r w:rsidR="0027426B" w:rsidRPr="003A41F2">
        <w:rPr>
          <w:rFonts w:ascii="Times New Roman" w:hAnsi="Times New Roman"/>
          <w:sz w:val="24"/>
          <w:szCs w:val="24"/>
        </w:rPr>
        <w:t xml:space="preserve">the overall return to greater educational attainment, </w:t>
      </w:r>
      <w:r w:rsidR="00DE70E3" w:rsidRPr="003A41F2">
        <w:rPr>
          <w:rFonts w:ascii="Times New Roman" w:hAnsi="Times New Roman"/>
          <w:sz w:val="24"/>
          <w:szCs w:val="24"/>
        </w:rPr>
        <w:t xml:space="preserve">although there is little reliably strong evidence of such effects occurring  </w:t>
      </w:r>
      <w:r w:rsidR="0027426B" w:rsidRPr="003A41F2">
        <w:rPr>
          <w:rFonts w:ascii="Times New Roman" w:hAnsi="Times New Roman"/>
          <w:sz w:val="24"/>
          <w:szCs w:val="24"/>
        </w:rPr>
        <w:t>(Schmidt, 2013).</w:t>
      </w:r>
    </w:p>
    <w:p w:rsidR="00793A4A" w:rsidRPr="00793A4A" w:rsidRDefault="00793A4A" w:rsidP="00940760">
      <w:pPr>
        <w:spacing w:line="360" w:lineRule="auto"/>
        <w:jc w:val="both"/>
        <w:rPr>
          <w:rFonts w:ascii="Times New Roman" w:hAnsi="Times New Roman"/>
          <w:b/>
          <w:sz w:val="24"/>
          <w:szCs w:val="24"/>
        </w:rPr>
      </w:pPr>
      <w:r w:rsidRPr="00793A4A">
        <w:rPr>
          <w:rFonts w:ascii="Times New Roman" w:hAnsi="Times New Roman"/>
          <w:b/>
          <w:sz w:val="24"/>
          <w:szCs w:val="24"/>
        </w:rPr>
        <w:t>Calculating rates of return</w:t>
      </w:r>
    </w:p>
    <w:p w:rsidR="002B05C0" w:rsidRDefault="002B05C0" w:rsidP="00940760">
      <w:pPr>
        <w:spacing w:line="360" w:lineRule="auto"/>
        <w:jc w:val="both"/>
        <w:rPr>
          <w:rFonts w:ascii="Times New Roman" w:hAnsi="Times New Roman"/>
          <w:sz w:val="24"/>
          <w:szCs w:val="24"/>
        </w:rPr>
      </w:pPr>
      <w:r>
        <w:rPr>
          <w:rFonts w:ascii="Times New Roman" w:hAnsi="Times New Roman"/>
          <w:sz w:val="24"/>
          <w:szCs w:val="24"/>
        </w:rPr>
        <w:lastRenderedPageBreak/>
        <w:t>If the only difference between groups were their levels of educational attainment and, by implication, their skills, then we could easily interpret these relative wages and employment rates as the economic benefit an individual would expect to receive</w:t>
      </w:r>
      <w:r w:rsidR="001E0ED7">
        <w:rPr>
          <w:rFonts w:ascii="Times New Roman" w:hAnsi="Times New Roman"/>
          <w:sz w:val="24"/>
          <w:szCs w:val="24"/>
        </w:rPr>
        <w:t xml:space="preserve"> </w:t>
      </w:r>
      <w:r>
        <w:rPr>
          <w:rFonts w:ascii="Times New Roman" w:hAnsi="Times New Roman"/>
          <w:sz w:val="24"/>
          <w:szCs w:val="24"/>
        </w:rPr>
        <w:t>for participating in that programme of study. However, it is typically not the case that education is the only difference between groups, and some of these other differences affect wages as well. As a result, some of the differences in wages might be the result of factors other than education</w:t>
      </w:r>
      <w:r w:rsidR="00034F73">
        <w:rPr>
          <w:rFonts w:ascii="Times New Roman" w:hAnsi="Times New Roman"/>
          <w:sz w:val="24"/>
          <w:szCs w:val="24"/>
        </w:rPr>
        <w:t xml:space="preserve"> which feature more strongly in one group rather than the other. </w:t>
      </w:r>
      <w:r w:rsidR="00867F8F">
        <w:rPr>
          <w:rFonts w:ascii="Times New Roman" w:hAnsi="Times New Roman"/>
          <w:sz w:val="24"/>
          <w:szCs w:val="24"/>
        </w:rPr>
        <w:t xml:space="preserve">To deal with this, </w:t>
      </w:r>
      <w:r w:rsidR="00C8305E">
        <w:rPr>
          <w:rFonts w:ascii="Times New Roman" w:hAnsi="Times New Roman"/>
          <w:sz w:val="24"/>
          <w:szCs w:val="24"/>
        </w:rPr>
        <w:t xml:space="preserve">labour economists tend to use </w:t>
      </w:r>
      <w:r w:rsidR="005A7287">
        <w:rPr>
          <w:rFonts w:ascii="Times New Roman" w:hAnsi="Times New Roman"/>
          <w:sz w:val="24"/>
          <w:szCs w:val="24"/>
        </w:rPr>
        <w:t xml:space="preserve">wage </w:t>
      </w:r>
      <w:r w:rsidR="00C8305E">
        <w:rPr>
          <w:rFonts w:ascii="Times New Roman" w:hAnsi="Times New Roman"/>
          <w:sz w:val="24"/>
          <w:szCs w:val="24"/>
        </w:rPr>
        <w:t>regression</w:t>
      </w:r>
      <w:r w:rsidR="005A7287">
        <w:rPr>
          <w:rFonts w:ascii="Times New Roman" w:hAnsi="Times New Roman"/>
          <w:sz w:val="24"/>
          <w:szCs w:val="24"/>
        </w:rPr>
        <w:t xml:space="preserve">s, which assume a simple but theoretically plausible relationship between wages and factors </w:t>
      </w:r>
      <w:r w:rsidR="00867F8F">
        <w:rPr>
          <w:rFonts w:ascii="Times New Roman" w:hAnsi="Times New Roman"/>
          <w:sz w:val="24"/>
          <w:szCs w:val="24"/>
        </w:rPr>
        <w:t>that affect</w:t>
      </w:r>
      <w:r w:rsidR="005A7287">
        <w:rPr>
          <w:rFonts w:ascii="Times New Roman" w:hAnsi="Times New Roman"/>
          <w:sz w:val="24"/>
          <w:szCs w:val="24"/>
        </w:rPr>
        <w:t xml:space="preserve"> wages and estimates the standalone effect of each one of these on earnings, whilst holding all of the others constant. The challenge is in choosing the </w:t>
      </w:r>
      <w:r w:rsidR="00CD6CD2">
        <w:rPr>
          <w:rFonts w:ascii="Times New Roman" w:hAnsi="Times New Roman"/>
          <w:sz w:val="24"/>
          <w:szCs w:val="24"/>
        </w:rPr>
        <w:t>right set of factors</w:t>
      </w:r>
      <w:r w:rsidR="005A7287">
        <w:rPr>
          <w:rFonts w:ascii="Times New Roman" w:hAnsi="Times New Roman"/>
          <w:sz w:val="24"/>
          <w:szCs w:val="24"/>
        </w:rPr>
        <w:t xml:space="preserve">. </w:t>
      </w:r>
    </w:p>
    <w:p w:rsidR="0027426B" w:rsidRPr="0027426B" w:rsidRDefault="00175860" w:rsidP="00940760">
      <w:pPr>
        <w:spacing w:line="360" w:lineRule="auto"/>
        <w:jc w:val="both"/>
        <w:rPr>
          <w:rFonts w:ascii="Times New Roman" w:hAnsi="Times New Roman"/>
          <w:i/>
          <w:sz w:val="24"/>
          <w:szCs w:val="24"/>
        </w:rPr>
      </w:pPr>
      <w:r>
        <w:rPr>
          <w:rFonts w:ascii="Times New Roman" w:hAnsi="Times New Roman"/>
          <w:i/>
          <w:sz w:val="24"/>
          <w:szCs w:val="24"/>
        </w:rPr>
        <w:t>3</w:t>
      </w:r>
      <w:r w:rsidR="0027426B" w:rsidRPr="0027426B">
        <w:rPr>
          <w:rFonts w:ascii="Times New Roman" w:hAnsi="Times New Roman"/>
          <w:i/>
          <w:sz w:val="24"/>
          <w:szCs w:val="24"/>
        </w:rPr>
        <w:t>.1</w:t>
      </w:r>
      <w:r w:rsidR="0027426B" w:rsidRPr="0027426B">
        <w:rPr>
          <w:rFonts w:ascii="Times New Roman" w:hAnsi="Times New Roman"/>
          <w:i/>
          <w:sz w:val="24"/>
          <w:szCs w:val="24"/>
        </w:rPr>
        <w:tab/>
        <w:t>Wage equation regression</w:t>
      </w:r>
    </w:p>
    <w:p w:rsidR="00567389" w:rsidRDefault="000611FA" w:rsidP="00940760">
      <w:pPr>
        <w:spacing w:line="360" w:lineRule="auto"/>
        <w:jc w:val="both"/>
        <w:rPr>
          <w:rFonts w:ascii="Times New Roman" w:hAnsi="Times New Roman"/>
          <w:sz w:val="24"/>
          <w:szCs w:val="24"/>
        </w:rPr>
      </w:pPr>
      <w:r>
        <w:rPr>
          <w:rFonts w:ascii="Times New Roman" w:hAnsi="Times New Roman"/>
          <w:sz w:val="24"/>
          <w:szCs w:val="24"/>
        </w:rPr>
        <w:t>Mincer (1974</w:t>
      </w:r>
      <w:r w:rsidR="002C1C98">
        <w:rPr>
          <w:rFonts w:ascii="Times New Roman" w:hAnsi="Times New Roman"/>
          <w:sz w:val="24"/>
          <w:szCs w:val="24"/>
        </w:rPr>
        <w:t>) propose</w:t>
      </w:r>
      <w:r w:rsidR="00C8305E">
        <w:rPr>
          <w:rFonts w:ascii="Times New Roman" w:hAnsi="Times New Roman"/>
          <w:sz w:val="24"/>
          <w:szCs w:val="24"/>
        </w:rPr>
        <w:t>d</w:t>
      </w:r>
      <w:r w:rsidR="002C1C98">
        <w:rPr>
          <w:rFonts w:ascii="Times New Roman" w:hAnsi="Times New Roman"/>
          <w:sz w:val="24"/>
          <w:szCs w:val="24"/>
        </w:rPr>
        <w:t xml:space="preserve"> a model </w:t>
      </w:r>
      <w:r w:rsidR="00D403D4">
        <w:rPr>
          <w:rFonts w:ascii="Times New Roman" w:hAnsi="Times New Roman"/>
          <w:sz w:val="24"/>
          <w:szCs w:val="24"/>
        </w:rPr>
        <w:t>in which</w:t>
      </w:r>
      <w:r w:rsidR="002C1C98">
        <w:rPr>
          <w:rFonts w:ascii="Times New Roman" w:hAnsi="Times New Roman"/>
          <w:sz w:val="24"/>
          <w:szCs w:val="24"/>
        </w:rPr>
        <w:t xml:space="preserve"> earnings depend on</w:t>
      </w:r>
      <w:r w:rsidR="005A7287">
        <w:rPr>
          <w:rFonts w:ascii="Times New Roman" w:hAnsi="Times New Roman"/>
          <w:sz w:val="24"/>
          <w:szCs w:val="24"/>
        </w:rPr>
        <w:t xml:space="preserve"> just two things:</w:t>
      </w:r>
      <w:r w:rsidR="002C1C98">
        <w:rPr>
          <w:rFonts w:ascii="Times New Roman" w:hAnsi="Times New Roman"/>
          <w:sz w:val="24"/>
          <w:szCs w:val="24"/>
        </w:rPr>
        <w:t xml:space="preserve"> education, measured in years of full-time education (“schooling”) and labour market experience. </w:t>
      </w:r>
      <w:r w:rsidR="007C19B1">
        <w:rPr>
          <w:rFonts w:ascii="Times New Roman" w:hAnsi="Times New Roman"/>
          <w:sz w:val="24"/>
          <w:szCs w:val="24"/>
        </w:rPr>
        <w:t>In most wage regressions of the form proposed by Mincer, the dependent variable is the natural logarithm of wages (which might b</w:t>
      </w:r>
      <w:r w:rsidR="005A7287">
        <w:rPr>
          <w:rFonts w:ascii="Times New Roman" w:hAnsi="Times New Roman"/>
          <w:sz w:val="24"/>
          <w:szCs w:val="24"/>
        </w:rPr>
        <w:t>e in hourly or annual terms).</w:t>
      </w:r>
      <w:r w:rsidR="007E1C9D">
        <w:rPr>
          <w:rStyle w:val="FootnoteReference"/>
          <w:rFonts w:ascii="Times New Roman" w:hAnsi="Times New Roman"/>
          <w:sz w:val="24"/>
          <w:szCs w:val="24"/>
        </w:rPr>
        <w:footnoteReference w:id="5"/>
      </w:r>
      <w:r w:rsidR="007C19B1">
        <w:rPr>
          <w:rFonts w:ascii="Times New Roman" w:hAnsi="Times New Roman"/>
          <w:sz w:val="24"/>
          <w:szCs w:val="24"/>
        </w:rPr>
        <w:t xml:space="preserve"> </w:t>
      </w:r>
      <w:r w:rsidR="002C1C98">
        <w:rPr>
          <w:rFonts w:ascii="Times New Roman" w:hAnsi="Times New Roman"/>
          <w:sz w:val="24"/>
          <w:szCs w:val="24"/>
        </w:rPr>
        <w:t>The model assumes that each year of s</w:t>
      </w:r>
      <w:r>
        <w:rPr>
          <w:rFonts w:ascii="Times New Roman" w:hAnsi="Times New Roman"/>
          <w:sz w:val="24"/>
          <w:szCs w:val="24"/>
        </w:rPr>
        <w:t>chooling increases productivity</w:t>
      </w:r>
      <w:r w:rsidR="00131F3A">
        <w:rPr>
          <w:rFonts w:ascii="Times New Roman" w:hAnsi="Times New Roman"/>
          <w:sz w:val="24"/>
          <w:szCs w:val="24"/>
        </w:rPr>
        <w:t>, on average, in a constant fashion</w:t>
      </w:r>
      <w:r w:rsidR="00AA72A3">
        <w:rPr>
          <w:rFonts w:ascii="Times New Roman" w:hAnsi="Times New Roman"/>
          <w:sz w:val="24"/>
          <w:szCs w:val="24"/>
        </w:rPr>
        <w:t xml:space="preserve"> – so, for example, going from four to five years of education has the same effect on productivity and wages and does going from 11 years to 12</w:t>
      </w:r>
      <w:r w:rsidR="00131F3A">
        <w:rPr>
          <w:rFonts w:ascii="Times New Roman" w:hAnsi="Times New Roman"/>
          <w:sz w:val="24"/>
          <w:szCs w:val="24"/>
        </w:rPr>
        <w:t>. It also assumed that</w:t>
      </w:r>
      <w:r>
        <w:rPr>
          <w:rFonts w:ascii="Times New Roman" w:hAnsi="Times New Roman"/>
          <w:sz w:val="24"/>
          <w:szCs w:val="24"/>
        </w:rPr>
        <w:t xml:space="preserve"> individual productivity continues to increase after the end of full-time education due to investments in on-the-job training</w:t>
      </w:r>
      <w:r w:rsidR="001B4E78">
        <w:rPr>
          <w:rFonts w:ascii="Times New Roman" w:hAnsi="Times New Roman"/>
          <w:sz w:val="24"/>
          <w:szCs w:val="24"/>
        </w:rPr>
        <w:t xml:space="preserve"> but at a diminishing rate as </w:t>
      </w:r>
      <w:r>
        <w:rPr>
          <w:rFonts w:ascii="Times New Roman" w:hAnsi="Times New Roman"/>
          <w:sz w:val="24"/>
          <w:szCs w:val="24"/>
        </w:rPr>
        <w:t xml:space="preserve">individuals </w:t>
      </w:r>
      <w:r w:rsidR="00AA72A3">
        <w:rPr>
          <w:rFonts w:ascii="Times New Roman" w:hAnsi="Times New Roman"/>
          <w:sz w:val="24"/>
          <w:szCs w:val="24"/>
        </w:rPr>
        <w:t>rationally</w:t>
      </w:r>
      <w:r>
        <w:rPr>
          <w:rFonts w:ascii="Times New Roman" w:hAnsi="Times New Roman"/>
          <w:sz w:val="24"/>
          <w:szCs w:val="24"/>
        </w:rPr>
        <w:t xml:space="preserve"> invest </w:t>
      </w:r>
      <w:r w:rsidR="001B4E78">
        <w:rPr>
          <w:rFonts w:ascii="Times New Roman" w:hAnsi="Times New Roman"/>
          <w:sz w:val="24"/>
          <w:szCs w:val="24"/>
        </w:rPr>
        <w:t xml:space="preserve">less </w:t>
      </w:r>
      <w:r>
        <w:rPr>
          <w:rFonts w:ascii="Times New Roman" w:hAnsi="Times New Roman"/>
          <w:sz w:val="24"/>
          <w:szCs w:val="24"/>
        </w:rPr>
        <w:t>in</w:t>
      </w:r>
      <w:r w:rsidR="001B4E78">
        <w:rPr>
          <w:rFonts w:ascii="Times New Roman" w:hAnsi="Times New Roman"/>
          <w:sz w:val="24"/>
          <w:szCs w:val="24"/>
        </w:rPr>
        <w:t xml:space="preserve"> their skills</w:t>
      </w:r>
      <w:r w:rsidR="00AA72A3">
        <w:rPr>
          <w:rFonts w:ascii="Times New Roman" w:hAnsi="Times New Roman"/>
          <w:sz w:val="24"/>
          <w:szCs w:val="24"/>
        </w:rPr>
        <w:t xml:space="preserve"> </w:t>
      </w:r>
      <w:r>
        <w:rPr>
          <w:rFonts w:ascii="Times New Roman" w:hAnsi="Times New Roman"/>
          <w:sz w:val="24"/>
          <w:szCs w:val="24"/>
        </w:rPr>
        <w:t>as they age</w:t>
      </w:r>
      <w:r w:rsidR="001B4E78">
        <w:rPr>
          <w:rFonts w:ascii="Times New Roman" w:hAnsi="Times New Roman"/>
          <w:sz w:val="24"/>
          <w:szCs w:val="24"/>
        </w:rPr>
        <w:t xml:space="preserve">. This is </w:t>
      </w:r>
      <w:r w:rsidR="00131F3A">
        <w:rPr>
          <w:rFonts w:ascii="Times New Roman" w:hAnsi="Times New Roman"/>
          <w:sz w:val="24"/>
          <w:szCs w:val="24"/>
        </w:rPr>
        <w:t xml:space="preserve">due to a combination of declining time to enjoy the benefits of this investment and the rising opportunity cost of learning rather than earning as productivity, </w:t>
      </w:r>
      <w:r w:rsidR="007C19B1">
        <w:rPr>
          <w:rFonts w:ascii="Times New Roman" w:hAnsi="Times New Roman"/>
          <w:sz w:val="24"/>
          <w:szCs w:val="24"/>
        </w:rPr>
        <w:t>and earning potential, increases</w:t>
      </w:r>
      <w:r w:rsidR="00131F3A">
        <w:rPr>
          <w:rFonts w:ascii="Times New Roman" w:hAnsi="Times New Roman"/>
          <w:sz w:val="24"/>
          <w:szCs w:val="24"/>
        </w:rPr>
        <w:t xml:space="preserve">. </w:t>
      </w:r>
      <w:r w:rsidR="007C19B1">
        <w:rPr>
          <w:rFonts w:ascii="Times New Roman" w:hAnsi="Times New Roman"/>
          <w:sz w:val="24"/>
          <w:szCs w:val="24"/>
        </w:rPr>
        <w:t xml:space="preserve">Hence, the standard dependent variables are </w:t>
      </w:r>
      <w:r w:rsidR="007C7CA2">
        <w:rPr>
          <w:rFonts w:ascii="Times New Roman" w:hAnsi="Times New Roman"/>
          <w:sz w:val="24"/>
          <w:szCs w:val="24"/>
        </w:rPr>
        <w:t>education, experience (which is often approximated using age, less the number of years of completed schooling and the compulsory school starting age) and the square of experience (which we anticipate having a negative effect, capturing the diminishing returns to experience</w:t>
      </w:r>
      <w:r w:rsidR="00BB6278">
        <w:rPr>
          <w:rFonts w:ascii="Times New Roman" w:hAnsi="Times New Roman"/>
          <w:sz w:val="24"/>
          <w:szCs w:val="24"/>
        </w:rPr>
        <w:t>)</w:t>
      </w:r>
      <w:r w:rsidR="007C7CA2">
        <w:rPr>
          <w:rFonts w:ascii="Times New Roman" w:hAnsi="Times New Roman"/>
          <w:sz w:val="24"/>
          <w:szCs w:val="24"/>
        </w:rPr>
        <w:t>.</w:t>
      </w:r>
    </w:p>
    <w:p w:rsidR="00182468" w:rsidRDefault="00182468" w:rsidP="00940760">
      <w:pPr>
        <w:spacing w:line="360" w:lineRule="auto"/>
        <w:jc w:val="both"/>
        <w:rPr>
          <w:rFonts w:ascii="Times New Roman" w:hAnsi="Times New Roman"/>
          <w:sz w:val="24"/>
          <w:szCs w:val="24"/>
        </w:rPr>
      </w:pPr>
      <w:r>
        <w:rPr>
          <w:rFonts w:ascii="Times New Roman" w:hAnsi="Times New Roman"/>
          <w:sz w:val="24"/>
          <w:szCs w:val="24"/>
        </w:rPr>
        <w:lastRenderedPageBreak/>
        <w:t xml:space="preserve">An alternative approach is to include variables which indicate attainment of particular levels of education or qualifications. The advantage of this is that is allows for the effect of education on earnings to </w:t>
      </w:r>
      <w:r w:rsidR="00944E07">
        <w:rPr>
          <w:rFonts w:ascii="Times New Roman" w:hAnsi="Times New Roman"/>
          <w:sz w:val="24"/>
          <w:szCs w:val="24"/>
        </w:rPr>
        <w:t xml:space="preserve">vary rather than imposing the assumption that an extra year of education, however spent, increases earning potential at a constant rate. However, </w:t>
      </w:r>
      <w:r w:rsidR="003012EB">
        <w:rPr>
          <w:rFonts w:ascii="Times New Roman" w:hAnsi="Times New Roman"/>
          <w:sz w:val="24"/>
          <w:szCs w:val="24"/>
        </w:rPr>
        <w:t xml:space="preserve">one practical problem is that </w:t>
      </w:r>
      <w:r w:rsidR="0018086A">
        <w:rPr>
          <w:rFonts w:ascii="Times New Roman" w:hAnsi="Times New Roman"/>
          <w:sz w:val="24"/>
          <w:szCs w:val="24"/>
        </w:rPr>
        <w:t>many data sets ask for an individual’s highest qualification only,. The coefficient on a variable indicating, for example, the completion of a post-graduate degree would tell you how much more someone earns on average i</w:t>
      </w:r>
      <w:r w:rsidR="003012EB">
        <w:rPr>
          <w:rFonts w:ascii="Times New Roman" w:hAnsi="Times New Roman"/>
          <w:sz w:val="24"/>
          <w:szCs w:val="24"/>
        </w:rPr>
        <w:t>f</w:t>
      </w:r>
      <w:r w:rsidR="0018086A">
        <w:rPr>
          <w:rFonts w:ascii="Times New Roman" w:hAnsi="Times New Roman"/>
          <w:sz w:val="24"/>
          <w:szCs w:val="24"/>
        </w:rPr>
        <w:t xml:space="preserve"> they possessed such a qualification compared to, say, someone who has completed compulsory secondary education. However</w:t>
      </w:r>
      <w:r w:rsidR="001D1C0F">
        <w:rPr>
          <w:rFonts w:ascii="Times New Roman" w:hAnsi="Times New Roman"/>
          <w:sz w:val="24"/>
          <w:szCs w:val="24"/>
        </w:rPr>
        <w:t>, in the time between completing the two qualifications, people may have followed a variety of pathways. Part of the wage premium will capture the other investments in education and training made during this time, although we do not always have the information to work out how much of the wage premium comes from this.</w:t>
      </w:r>
    </w:p>
    <w:p w:rsidR="005B4940" w:rsidRDefault="003012EB" w:rsidP="00940760">
      <w:pPr>
        <w:spacing w:line="360" w:lineRule="auto"/>
        <w:jc w:val="both"/>
        <w:rPr>
          <w:rFonts w:ascii="Times New Roman" w:hAnsi="Times New Roman"/>
          <w:sz w:val="24"/>
          <w:szCs w:val="24"/>
        </w:rPr>
      </w:pPr>
      <w:r>
        <w:rPr>
          <w:rFonts w:ascii="Times New Roman" w:hAnsi="Times New Roman"/>
          <w:sz w:val="24"/>
          <w:szCs w:val="24"/>
        </w:rPr>
        <w:t>T</w:t>
      </w:r>
      <w:r w:rsidR="008D4AE5">
        <w:rPr>
          <w:rFonts w:ascii="Times New Roman" w:hAnsi="Times New Roman"/>
          <w:sz w:val="24"/>
          <w:szCs w:val="24"/>
        </w:rPr>
        <w:t xml:space="preserve">here are many other variables which explain the distribution of wages. Different demographic groups appear to earn experience systematic gaps in their earnings even after controlling for education and experience differences. Women earn less than men on average, even where the two groups have been highly educated and could be expected to possess equivalent levels of skills. The same can be said for people with equivalent levels of human capital from different ethnic or racial groups – </w:t>
      </w:r>
      <w:r w:rsidR="00565B20">
        <w:rPr>
          <w:rFonts w:ascii="Times New Roman" w:hAnsi="Times New Roman"/>
          <w:sz w:val="24"/>
          <w:szCs w:val="24"/>
        </w:rPr>
        <w:t xml:space="preserve">some </w:t>
      </w:r>
      <w:r w:rsidR="008D4AE5">
        <w:rPr>
          <w:rFonts w:ascii="Times New Roman" w:hAnsi="Times New Roman"/>
          <w:sz w:val="24"/>
          <w:szCs w:val="24"/>
        </w:rPr>
        <w:t xml:space="preserve">non-white workers, particularly those from the black community, experience lower wages than their white counterparts at all skill levels. There are numerous possible explanations for these two observations, from deliberate discrimination </w:t>
      </w:r>
      <w:r w:rsidR="005B4940">
        <w:rPr>
          <w:rFonts w:ascii="Times New Roman" w:hAnsi="Times New Roman"/>
          <w:sz w:val="24"/>
          <w:szCs w:val="24"/>
        </w:rPr>
        <w:t xml:space="preserve">caused by employer prejudice to differences in human capital not captured by measuring years of schooling or work experience – for example, if schools are of a lower quality in areas with larger ethnic populations. It is therefore important to control for these demographic differences as it is likely that part of the raw </w:t>
      </w:r>
      <w:r w:rsidR="00CA0E6A">
        <w:rPr>
          <w:rFonts w:ascii="Times New Roman" w:hAnsi="Times New Roman"/>
          <w:sz w:val="24"/>
          <w:szCs w:val="24"/>
        </w:rPr>
        <w:t>gap in pay relates how the genders and ethnic groups are spread out across levels of education and training. For example, there may be a heavy concentration of black workers, who experience lower pay on average for any level of education and training, in lower attainment groups, which would widen to raw gap.</w:t>
      </w:r>
    </w:p>
    <w:p w:rsidR="00567389" w:rsidRDefault="005B4940" w:rsidP="00940760">
      <w:pPr>
        <w:spacing w:line="360" w:lineRule="auto"/>
        <w:jc w:val="both"/>
        <w:rPr>
          <w:rFonts w:ascii="Times New Roman" w:hAnsi="Times New Roman"/>
          <w:sz w:val="24"/>
          <w:szCs w:val="24"/>
        </w:rPr>
      </w:pPr>
      <w:r>
        <w:rPr>
          <w:rFonts w:ascii="Times New Roman" w:hAnsi="Times New Roman"/>
          <w:sz w:val="24"/>
          <w:szCs w:val="24"/>
        </w:rPr>
        <w:t>Other controls that are commonly included in a wage regression include geographic location (capturing differences in local labour markets other than their supply of skills and human capital) or marital status (as people with families have different priorities and constraints when searching for work</w:t>
      </w:r>
      <w:r w:rsidR="00CA0E6A">
        <w:rPr>
          <w:rFonts w:ascii="Times New Roman" w:hAnsi="Times New Roman"/>
          <w:sz w:val="24"/>
          <w:szCs w:val="24"/>
        </w:rPr>
        <w:t>)</w:t>
      </w:r>
      <w:r>
        <w:rPr>
          <w:rFonts w:ascii="Times New Roman" w:hAnsi="Times New Roman"/>
          <w:sz w:val="24"/>
          <w:szCs w:val="24"/>
        </w:rPr>
        <w:t xml:space="preserve">. </w:t>
      </w:r>
      <w:r w:rsidR="00CA0E6A">
        <w:rPr>
          <w:rFonts w:ascii="Times New Roman" w:hAnsi="Times New Roman"/>
          <w:sz w:val="24"/>
          <w:szCs w:val="24"/>
        </w:rPr>
        <w:t>Finally, u</w:t>
      </w:r>
      <w:r>
        <w:rPr>
          <w:rFonts w:ascii="Times New Roman" w:hAnsi="Times New Roman"/>
          <w:sz w:val="24"/>
          <w:szCs w:val="24"/>
        </w:rPr>
        <w:t xml:space="preserve">nion status is also often included where </w:t>
      </w:r>
      <w:r w:rsidR="00CA0E6A">
        <w:rPr>
          <w:rFonts w:ascii="Times New Roman" w:hAnsi="Times New Roman"/>
          <w:sz w:val="24"/>
          <w:szCs w:val="24"/>
        </w:rPr>
        <w:t xml:space="preserve">those data are </w:t>
      </w:r>
      <w:r>
        <w:rPr>
          <w:rFonts w:ascii="Times New Roman" w:hAnsi="Times New Roman"/>
          <w:sz w:val="24"/>
          <w:szCs w:val="24"/>
        </w:rPr>
        <w:t>available –</w:t>
      </w:r>
      <w:r w:rsidR="00CA0E6A">
        <w:rPr>
          <w:rFonts w:ascii="Times New Roman" w:hAnsi="Times New Roman"/>
          <w:sz w:val="24"/>
          <w:szCs w:val="24"/>
        </w:rPr>
        <w:t xml:space="preserve"> </w:t>
      </w:r>
      <w:r>
        <w:rPr>
          <w:rFonts w:ascii="Times New Roman" w:hAnsi="Times New Roman"/>
          <w:sz w:val="24"/>
          <w:szCs w:val="24"/>
        </w:rPr>
        <w:t>membership of a union has historically been associated with higher pay compared to an equivalent worker with no union representation.</w:t>
      </w:r>
      <w:r w:rsidR="00CA0E6A">
        <w:rPr>
          <w:rFonts w:ascii="Times New Roman" w:hAnsi="Times New Roman"/>
          <w:sz w:val="24"/>
          <w:szCs w:val="24"/>
        </w:rPr>
        <w:t xml:space="preserve"> Again, assuming people from these different </w:t>
      </w:r>
      <w:r w:rsidR="00CA0E6A">
        <w:rPr>
          <w:rFonts w:ascii="Times New Roman" w:hAnsi="Times New Roman"/>
          <w:sz w:val="24"/>
          <w:szCs w:val="24"/>
        </w:rPr>
        <w:lastRenderedPageBreak/>
        <w:t xml:space="preserve">groups are not randomly allocated across levels of education, the raw differences in pay shown in section 2 will partly reflect </w:t>
      </w:r>
      <w:r w:rsidR="00565B20">
        <w:rPr>
          <w:rFonts w:ascii="Times New Roman" w:hAnsi="Times New Roman"/>
          <w:sz w:val="24"/>
          <w:szCs w:val="24"/>
        </w:rPr>
        <w:t xml:space="preserve">the effect of </w:t>
      </w:r>
      <w:r w:rsidR="00CA0E6A">
        <w:rPr>
          <w:rFonts w:ascii="Times New Roman" w:hAnsi="Times New Roman"/>
          <w:sz w:val="24"/>
          <w:szCs w:val="24"/>
        </w:rPr>
        <w:t>some of these</w:t>
      </w:r>
      <w:r w:rsidR="00565B20">
        <w:rPr>
          <w:rFonts w:ascii="Times New Roman" w:hAnsi="Times New Roman"/>
          <w:sz w:val="24"/>
          <w:szCs w:val="24"/>
        </w:rPr>
        <w:t xml:space="preserve"> other variables</w:t>
      </w:r>
      <w:r w:rsidR="00CA0E6A">
        <w:rPr>
          <w:rFonts w:ascii="Times New Roman" w:hAnsi="Times New Roman"/>
          <w:sz w:val="24"/>
          <w:szCs w:val="24"/>
        </w:rPr>
        <w:t>.</w:t>
      </w:r>
    </w:p>
    <w:p w:rsidR="00CA0E6A" w:rsidRDefault="00CA0E6A" w:rsidP="00940760">
      <w:pPr>
        <w:spacing w:line="360" w:lineRule="auto"/>
        <w:jc w:val="both"/>
        <w:rPr>
          <w:rFonts w:ascii="Times New Roman" w:hAnsi="Times New Roman"/>
          <w:sz w:val="24"/>
          <w:szCs w:val="24"/>
        </w:rPr>
      </w:pPr>
      <w:r>
        <w:rPr>
          <w:rFonts w:ascii="Times New Roman" w:hAnsi="Times New Roman"/>
          <w:sz w:val="24"/>
          <w:szCs w:val="24"/>
        </w:rPr>
        <w:t xml:space="preserve">It is </w:t>
      </w:r>
      <w:r w:rsidR="00565B20">
        <w:rPr>
          <w:rFonts w:ascii="Times New Roman" w:hAnsi="Times New Roman"/>
          <w:sz w:val="24"/>
          <w:szCs w:val="24"/>
        </w:rPr>
        <w:t xml:space="preserve">often </w:t>
      </w:r>
      <w:r>
        <w:rPr>
          <w:rFonts w:ascii="Times New Roman" w:hAnsi="Times New Roman"/>
          <w:sz w:val="24"/>
          <w:szCs w:val="24"/>
        </w:rPr>
        <w:t>tempting for econometricians to include as many contr</w:t>
      </w:r>
      <w:r w:rsidR="00927B61">
        <w:rPr>
          <w:rFonts w:ascii="Times New Roman" w:hAnsi="Times New Roman"/>
          <w:sz w:val="24"/>
          <w:szCs w:val="24"/>
        </w:rPr>
        <w:t xml:space="preserve">ol variables as possible in their wage regression estimations. Doing so </w:t>
      </w:r>
      <w:r w:rsidR="000354AE">
        <w:rPr>
          <w:rFonts w:ascii="Times New Roman" w:hAnsi="Times New Roman"/>
          <w:sz w:val="24"/>
          <w:szCs w:val="24"/>
        </w:rPr>
        <w:t xml:space="preserve">is </w:t>
      </w:r>
      <w:r w:rsidR="00927B61">
        <w:rPr>
          <w:rFonts w:ascii="Times New Roman" w:hAnsi="Times New Roman"/>
          <w:sz w:val="24"/>
          <w:szCs w:val="24"/>
        </w:rPr>
        <w:t xml:space="preserve">fine providing the variables in question are exogenous – that is, that while </w:t>
      </w:r>
      <w:r w:rsidR="000354AE">
        <w:rPr>
          <w:rFonts w:ascii="Times New Roman" w:hAnsi="Times New Roman"/>
          <w:sz w:val="24"/>
          <w:szCs w:val="24"/>
        </w:rPr>
        <w:t>different values of these variabl</w:t>
      </w:r>
      <w:r w:rsidR="00AA72A3">
        <w:rPr>
          <w:rFonts w:ascii="Times New Roman" w:hAnsi="Times New Roman"/>
          <w:sz w:val="24"/>
          <w:szCs w:val="24"/>
        </w:rPr>
        <w:t>e</w:t>
      </w:r>
      <w:r w:rsidR="000354AE">
        <w:rPr>
          <w:rFonts w:ascii="Times New Roman" w:hAnsi="Times New Roman"/>
          <w:sz w:val="24"/>
          <w:szCs w:val="24"/>
        </w:rPr>
        <w:t>s</w:t>
      </w:r>
      <w:r w:rsidR="00927B61">
        <w:rPr>
          <w:rFonts w:ascii="Times New Roman" w:hAnsi="Times New Roman"/>
          <w:sz w:val="24"/>
          <w:szCs w:val="24"/>
        </w:rPr>
        <w:t xml:space="preserve"> help </w:t>
      </w:r>
      <w:r w:rsidR="000354AE">
        <w:rPr>
          <w:rFonts w:ascii="Times New Roman" w:hAnsi="Times New Roman"/>
          <w:sz w:val="24"/>
          <w:szCs w:val="24"/>
        </w:rPr>
        <w:t>explain</w:t>
      </w:r>
      <w:r w:rsidR="00927B61">
        <w:rPr>
          <w:rFonts w:ascii="Times New Roman" w:hAnsi="Times New Roman"/>
          <w:sz w:val="24"/>
          <w:szCs w:val="24"/>
        </w:rPr>
        <w:t xml:space="preserve"> and predict</w:t>
      </w:r>
      <w:r w:rsidR="00B62A4B">
        <w:rPr>
          <w:rFonts w:ascii="Times New Roman" w:hAnsi="Times New Roman"/>
          <w:sz w:val="24"/>
          <w:szCs w:val="24"/>
        </w:rPr>
        <w:t xml:space="preserve"> outcomes such as</w:t>
      </w:r>
      <w:r w:rsidR="00927B61">
        <w:rPr>
          <w:rFonts w:ascii="Times New Roman" w:hAnsi="Times New Roman"/>
          <w:sz w:val="24"/>
          <w:szCs w:val="24"/>
        </w:rPr>
        <w:t xml:space="preserve"> wages</w:t>
      </w:r>
      <w:r w:rsidR="000354AE">
        <w:rPr>
          <w:rFonts w:ascii="Times New Roman" w:hAnsi="Times New Roman"/>
          <w:sz w:val="24"/>
          <w:szCs w:val="24"/>
        </w:rPr>
        <w:t xml:space="preserve"> or employment</w:t>
      </w:r>
      <w:r w:rsidR="00927B61">
        <w:rPr>
          <w:rFonts w:ascii="Times New Roman" w:hAnsi="Times New Roman"/>
          <w:sz w:val="24"/>
          <w:szCs w:val="24"/>
        </w:rPr>
        <w:t>,</w:t>
      </w:r>
      <w:r w:rsidR="00B62A4B">
        <w:rPr>
          <w:rFonts w:ascii="Times New Roman" w:hAnsi="Times New Roman"/>
          <w:sz w:val="24"/>
          <w:szCs w:val="24"/>
        </w:rPr>
        <w:t xml:space="preserve"> </w:t>
      </w:r>
      <w:r w:rsidR="000354AE">
        <w:rPr>
          <w:rFonts w:ascii="Times New Roman" w:hAnsi="Times New Roman"/>
          <w:sz w:val="24"/>
          <w:szCs w:val="24"/>
        </w:rPr>
        <w:t>these different values</w:t>
      </w:r>
      <w:r w:rsidR="00927B61">
        <w:rPr>
          <w:rFonts w:ascii="Times New Roman" w:hAnsi="Times New Roman"/>
          <w:sz w:val="24"/>
          <w:szCs w:val="24"/>
        </w:rPr>
        <w:t xml:space="preserve"> are not themselves determined </w:t>
      </w:r>
      <w:r w:rsidR="00965B15">
        <w:rPr>
          <w:rFonts w:ascii="Times New Roman" w:hAnsi="Times New Roman"/>
          <w:sz w:val="24"/>
          <w:szCs w:val="24"/>
        </w:rPr>
        <w:t xml:space="preserve">by other </w:t>
      </w:r>
      <w:r w:rsidR="00B62A4B">
        <w:rPr>
          <w:rFonts w:ascii="Times New Roman" w:hAnsi="Times New Roman"/>
          <w:sz w:val="24"/>
          <w:szCs w:val="24"/>
        </w:rPr>
        <w:t>variables</w:t>
      </w:r>
      <w:r w:rsidR="00965B15">
        <w:rPr>
          <w:rFonts w:ascii="Times New Roman" w:hAnsi="Times New Roman"/>
          <w:sz w:val="24"/>
          <w:szCs w:val="24"/>
        </w:rPr>
        <w:t xml:space="preserve"> included in </w:t>
      </w:r>
      <w:r w:rsidR="00927B61">
        <w:rPr>
          <w:rFonts w:ascii="Times New Roman" w:hAnsi="Times New Roman"/>
          <w:sz w:val="24"/>
          <w:szCs w:val="24"/>
        </w:rPr>
        <w:t>the model</w:t>
      </w:r>
      <w:r w:rsidR="005938E0">
        <w:rPr>
          <w:rFonts w:ascii="Times New Roman" w:hAnsi="Times New Roman"/>
          <w:sz w:val="24"/>
          <w:szCs w:val="24"/>
        </w:rPr>
        <w:t>.</w:t>
      </w:r>
      <w:r w:rsidR="00927B61">
        <w:rPr>
          <w:rFonts w:ascii="Times New Roman" w:hAnsi="Times New Roman"/>
          <w:sz w:val="24"/>
          <w:szCs w:val="24"/>
        </w:rPr>
        <w:t xml:space="preserve"> For example, gender is a truly exogenous variable. </w:t>
      </w:r>
      <w:r w:rsidR="005938E0">
        <w:rPr>
          <w:rFonts w:ascii="Times New Roman" w:hAnsi="Times New Roman"/>
          <w:sz w:val="24"/>
          <w:szCs w:val="24"/>
        </w:rPr>
        <w:t>Male workers</w:t>
      </w:r>
      <w:r w:rsidR="00927B61">
        <w:rPr>
          <w:rFonts w:ascii="Times New Roman" w:hAnsi="Times New Roman"/>
          <w:sz w:val="24"/>
          <w:szCs w:val="24"/>
        </w:rPr>
        <w:t xml:space="preserve"> tend to experience higher pay than </w:t>
      </w:r>
      <w:r w:rsidR="005938E0">
        <w:rPr>
          <w:rFonts w:ascii="Times New Roman" w:hAnsi="Times New Roman"/>
          <w:sz w:val="24"/>
          <w:szCs w:val="24"/>
        </w:rPr>
        <w:t>female workers, but</w:t>
      </w:r>
      <w:r w:rsidR="00927B61">
        <w:rPr>
          <w:rFonts w:ascii="Times New Roman" w:hAnsi="Times New Roman"/>
          <w:sz w:val="24"/>
          <w:szCs w:val="24"/>
        </w:rPr>
        <w:t xml:space="preserve"> nothing about</w:t>
      </w:r>
      <w:r w:rsidR="0046721F">
        <w:rPr>
          <w:rFonts w:ascii="Times New Roman" w:hAnsi="Times New Roman"/>
          <w:sz w:val="24"/>
          <w:szCs w:val="24"/>
        </w:rPr>
        <w:t xml:space="preserve"> </w:t>
      </w:r>
      <w:r w:rsidR="005938E0">
        <w:rPr>
          <w:rFonts w:ascii="Times New Roman" w:hAnsi="Times New Roman"/>
          <w:sz w:val="24"/>
          <w:szCs w:val="24"/>
        </w:rPr>
        <w:t>this situation</w:t>
      </w:r>
      <w:r w:rsidR="00927B61">
        <w:rPr>
          <w:rFonts w:ascii="Times New Roman" w:hAnsi="Times New Roman"/>
          <w:sz w:val="24"/>
          <w:szCs w:val="24"/>
        </w:rPr>
        <w:t xml:space="preserve"> had any role in allocating someone to one gender or the other.</w:t>
      </w:r>
      <w:r w:rsidR="0046721F">
        <w:rPr>
          <w:rFonts w:ascii="Times New Roman" w:hAnsi="Times New Roman"/>
          <w:sz w:val="24"/>
          <w:szCs w:val="24"/>
        </w:rPr>
        <w:t xml:space="preserve"> The same would apply for ethnicity</w:t>
      </w:r>
      <w:r w:rsidR="007C7CA2">
        <w:rPr>
          <w:rStyle w:val="FootnoteReference"/>
          <w:rFonts w:ascii="Times New Roman" w:hAnsi="Times New Roman"/>
          <w:sz w:val="24"/>
          <w:szCs w:val="24"/>
        </w:rPr>
        <w:footnoteReference w:id="6"/>
      </w:r>
      <w:r w:rsidR="0046721F">
        <w:rPr>
          <w:rFonts w:ascii="Times New Roman" w:hAnsi="Times New Roman"/>
          <w:sz w:val="24"/>
          <w:szCs w:val="24"/>
        </w:rPr>
        <w:t xml:space="preserve"> and it also seems reasonable that marital status is determined by factors other than wages.</w:t>
      </w:r>
    </w:p>
    <w:p w:rsidR="00254665" w:rsidRDefault="00927B61" w:rsidP="00940760">
      <w:pPr>
        <w:spacing w:line="360" w:lineRule="auto"/>
        <w:jc w:val="both"/>
        <w:rPr>
          <w:rFonts w:ascii="Times New Roman" w:hAnsi="Times New Roman"/>
          <w:sz w:val="24"/>
          <w:szCs w:val="24"/>
        </w:rPr>
      </w:pPr>
      <w:r>
        <w:rPr>
          <w:rFonts w:ascii="Times New Roman" w:hAnsi="Times New Roman"/>
          <w:sz w:val="24"/>
          <w:szCs w:val="24"/>
        </w:rPr>
        <w:t xml:space="preserve">For other factors, </w:t>
      </w:r>
      <w:r w:rsidR="0046721F">
        <w:rPr>
          <w:rFonts w:ascii="Times New Roman" w:hAnsi="Times New Roman"/>
          <w:sz w:val="24"/>
          <w:szCs w:val="24"/>
        </w:rPr>
        <w:t xml:space="preserve">this is perhaps less clear cut. Angrist and Pischke (2008) use occupation as their example of a ‘bad control’. </w:t>
      </w:r>
      <w:r w:rsidR="005938E0">
        <w:rPr>
          <w:rFonts w:ascii="Times New Roman" w:hAnsi="Times New Roman"/>
          <w:sz w:val="24"/>
          <w:szCs w:val="24"/>
        </w:rPr>
        <w:t>I</w:t>
      </w:r>
      <w:r w:rsidR="0046721F">
        <w:rPr>
          <w:rFonts w:ascii="Times New Roman" w:hAnsi="Times New Roman"/>
          <w:sz w:val="24"/>
          <w:szCs w:val="24"/>
        </w:rPr>
        <w:t>t might seem like quite a good idea to control for differences in the types of work people with different levels of education and skills have. Some very well trained people end up working in jobs which do</w:t>
      </w:r>
      <w:r w:rsidR="00565B20">
        <w:rPr>
          <w:rFonts w:ascii="Times New Roman" w:hAnsi="Times New Roman"/>
          <w:sz w:val="24"/>
          <w:szCs w:val="24"/>
        </w:rPr>
        <w:t xml:space="preserve"> </w:t>
      </w:r>
      <w:r w:rsidR="0046721F">
        <w:rPr>
          <w:rFonts w:ascii="Times New Roman" w:hAnsi="Times New Roman"/>
          <w:sz w:val="24"/>
          <w:szCs w:val="24"/>
        </w:rPr>
        <w:t>n</w:t>
      </w:r>
      <w:r w:rsidR="00565B20">
        <w:rPr>
          <w:rFonts w:ascii="Times New Roman" w:hAnsi="Times New Roman"/>
          <w:sz w:val="24"/>
          <w:szCs w:val="24"/>
        </w:rPr>
        <w:t>o</w:t>
      </w:r>
      <w:r w:rsidR="0046721F">
        <w:rPr>
          <w:rFonts w:ascii="Times New Roman" w:hAnsi="Times New Roman"/>
          <w:sz w:val="24"/>
          <w:szCs w:val="24"/>
        </w:rPr>
        <w:t>t require t</w:t>
      </w:r>
      <w:r w:rsidR="00D112E3">
        <w:rPr>
          <w:rFonts w:ascii="Times New Roman" w:hAnsi="Times New Roman"/>
          <w:sz w:val="24"/>
          <w:szCs w:val="24"/>
        </w:rPr>
        <w:t xml:space="preserve">he full extent of their skills, and it would be strange to expect that they would have the same earning potential as similarly qualified individuals in more demanding jobs. However, </w:t>
      </w:r>
      <w:r w:rsidR="00AA72A3">
        <w:rPr>
          <w:rFonts w:ascii="Times New Roman" w:hAnsi="Times New Roman"/>
          <w:sz w:val="24"/>
          <w:szCs w:val="24"/>
        </w:rPr>
        <w:t xml:space="preserve">a person’s </w:t>
      </w:r>
      <w:r w:rsidR="00D112E3">
        <w:rPr>
          <w:rFonts w:ascii="Times New Roman" w:hAnsi="Times New Roman"/>
          <w:sz w:val="24"/>
          <w:szCs w:val="24"/>
        </w:rPr>
        <w:t>occupation</w:t>
      </w:r>
      <w:r w:rsidR="00E92398">
        <w:rPr>
          <w:rFonts w:ascii="Times New Roman" w:hAnsi="Times New Roman"/>
          <w:sz w:val="24"/>
          <w:szCs w:val="24"/>
        </w:rPr>
        <w:t xml:space="preserve"> is also</w:t>
      </w:r>
      <w:r w:rsidR="00AA72A3">
        <w:rPr>
          <w:rFonts w:ascii="Times New Roman" w:hAnsi="Times New Roman"/>
          <w:sz w:val="24"/>
          <w:szCs w:val="24"/>
        </w:rPr>
        <w:t>, at least in part,</w:t>
      </w:r>
      <w:r w:rsidR="00E92398">
        <w:rPr>
          <w:rFonts w:ascii="Times New Roman" w:hAnsi="Times New Roman"/>
          <w:sz w:val="24"/>
          <w:szCs w:val="24"/>
        </w:rPr>
        <w:t xml:space="preserve"> a</w:t>
      </w:r>
      <w:r w:rsidR="000354AE">
        <w:rPr>
          <w:rFonts w:ascii="Times New Roman" w:hAnsi="Times New Roman"/>
          <w:sz w:val="24"/>
          <w:szCs w:val="24"/>
        </w:rPr>
        <w:t>n outcome of the system –</w:t>
      </w:r>
      <w:r w:rsidR="00CC6E8B">
        <w:rPr>
          <w:rFonts w:ascii="Times New Roman" w:hAnsi="Times New Roman"/>
          <w:sz w:val="24"/>
          <w:szCs w:val="24"/>
        </w:rPr>
        <w:t xml:space="preserve"> </w:t>
      </w:r>
      <w:r w:rsidR="00AA72A3">
        <w:rPr>
          <w:rFonts w:ascii="Times New Roman" w:hAnsi="Times New Roman"/>
          <w:sz w:val="24"/>
          <w:szCs w:val="24"/>
        </w:rPr>
        <w:t>when someone has more skills and productive potential than another person, this is reflected in the job that they do.</w:t>
      </w:r>
      <w:r w:rsidR="002E53CA">
        <w:rPr>
          <w:rFonts w:ascii="Times New Roman" w:hAnsi="Times New Roman"/>
          <w:sz w:val="24"/>
          <w:szCs w:val="24"/>
        </w:rPr>
        <w:t xml:space="preserve"> </w:t>
      </w:r>
      <w:r w:rsidR="00AA72A3">
        <w:rPr>
          <w:rFonts w:ascii="Times New Roman" w:hAnsi="Times New Roman"/>
          <w:sz w:val="24"/>
          <w:szCs w:val="24"/>
        </w:rPr>
        <w:t xml:space="preserve">Acquiring skills through education and </w:t>
      </w:r>
      <w:r w:rsidR="0023083E">
        <w:rPr>
          <w:rFonts w:ascii="Times New Roman" w:hAnsi="Times New Roman"/>
          <w:sz w:val="24"/>
          <w:szCs w:val="24"/>
        </w:rPr>
        <w:t>training could</w:t>
      </w:r>
      <w:r w:rsidR="005938E0">
        <w:rPr>
          <w:rFonts w:ascii="Times New Roman" w:hAnsi="Times New Roman"/>
          <w:sz w:val="24"/>
          <w:szCs w:val="24"/>
        </w:rPr>
        <w:t xml:space="preserve"> </w:t>
      </w:r>
      <w:r w:rsidR="00254665">
        <w:rPr>
          <w:rFonts w:ascii="Times New Roman" w:hAnsi="Times New Roman"/>
          <w:sz w:val="24"/>
          <w:szCs w:val="24"/>
        </w:rPr>
        <w:t xml:space="preserve">lead to an increase in the number of people </w:t>
      </w:r>
      <w:r w:rsidR="005938E0">
        <w:rPr>
          <w:rFonts w:ascii="Times New Roman" w:hAnsi="Times New Roman"/>
          <w:sz w:val="24"/>
          <w:szCs w:val="24"/>
        </w:rPr>
        <w:t>entering occupations that require those skills</w:t>
      </w:r>
      <w:r w:rsidR="00254665">
        <w:rPr>
          <w:rFonts w:ascii="Times New Roman" w:hAnsi="Times New Roman"/>
          <w:sz w:val="24"/>
          <w:szCs w:val="24"/>
        </w:rPr>
        <w:t>. Therefore, including occupation in a regression downplays the return on education – part of the return to investing in more human capital is the ability to work in higher-paying occupations, which is now accounted for separately in the regression.</w:t>
      </w:r>
      <w:r w:rsidR="00D8326E">
        <w:rPr>
          <w:rFonts w:ascii="Times New Roman" w:hAnsi="Times New Roman"/>
          <w:sz w:val="24"/>
          <w:szCs w:val="24"/>
        </w:rPr>
        <w:t xml:space="preserve"> The issue of exogenous and endogenous variables is picked up again in section 5. </w:t>
      </w:r>
    </w:p>
    <w:p w:rsidR="004854F8" w:rsidRDefault="004854F8" w:rsidP="00940760">
      <w:pPr>
        <w:spacing w:line="360" w:lineRule="auto"/>
        <w:jc w:val="both"/>
        <w:rPr>
          <w:rFonts w:ascii="Times New Roman" w:hAnsi="Times New Roman"/>
          <w:sz w:val="24"/>
          <w:szCs w:val="24"/>
        </w:rPr>
      </w:pPr>
    </w:p>
    <w:p w:rsidR="00182468" w:rsidRPr="0027426B" w:rsidRDefault="00182468" w:rsidP="00182468">
      <w:pPr>
        <w:spacing w:line="360" w:lineRule="auto"/>
        <w:jc w:val="both"/>
        <w:rPr>
          <w:rFonts w:ascii="Times New Roman" w:hAnsi="Times New Roman"/>
          <w:i/>
          <w:sz w:val="24"/>
          <w:szCs w:val="24"/>
        </w:rPr>
      </w:pPr>
      <w:r>
        <w:rPr>
          <w:rFonts w:ascii="Times New Roman" w:hAnsi="Times New Roman"/>
          <w:i/>
          <w:sz w:val="24"/>
          <w:szCs w:val="24"/>
        </w:rPr>
        <w:t>3.2</w:t>
      </w:r>
      <w:r w:rsidRPr="0027426B">
        <w:rPr>
          <w:rFonts w:ascii="Times New Roman" w:hAnsi="Times New Roman"/>
          <w:i/>
          <w:sz w:val="24"/>
          <w:szCs w:val="24"/>
        </w:rPr>
        <w:tab/>
        <w:t>Wage premia and rates of return</w:t>
      </w:r>
    </w:p>
    <w:p w:rsidR="00182468" w:rsidRDefault="00A2200A" w:rsidP="00182468">
      <w:pPr>
        <w:spacing w:line="360" w:lineRule="auto"/>
        <w:jc w:val="both"/>
        <w:rPr>
          <w:rFonts w:ascii="Times New Roman" w:hAnsi="Times New Roman"/>
          <w:sz w:val="24"/>
          <w:szCs w:val="24"/>
        </w:rPr>
      </w:pPr>
      <w:r>
        <w:rPr>
          <w:rFonts w:ascii="Times New Roman" w:hAnsi="Times New Roman"/>
          <w:sz w:val="24"/>
          <w:szCs w:val="24"/>
        </w:rPr>
        <w:lastRenderedPageBreak/>
        <w:t xml:space="preserve">The types of </w:t>
      </w:r>
      <w:r w:rsidR="00182468">
        <w:rPr>
          <w:rFonts w:ascii="Times New Roman" w:hAnsi="Times New Roman"/>
          <w:sz w:val="24"/>
          <w:szCs w:val="24"/>
        </w:rPr>
        <w:t>wage equation</w:t>
      </w:r>
      <w:r>
        <w:rPr>
          <w:rFonts w:ascii="Times New Roman" w:hAnsi="Times New Roman"/>
          <w:sz w:val="24"/>
          <w:szCs w:val="24"/>
        </w:rPr>
        <w:t xml:space="preserve">s discussed </w:t>
      </w:r>
      <w:r w:rsidR="009A7996">
        <w:rPr>
          <w:rFonts w:ascii="Times New Roman" w:hAnsi="Times New Roman"/>
          <w:sz w:val="24"/>
          <w:szCs w:val="24"/>
        </w:rPr>
        <w:t xml:space="preserve">above </w:t>
      </w:r>
      <w:r>
        <w:rPr>
          <w:rFonts w:ascii="Times New Roman" w:hAnsi="Times New Roman"/>
          <w:sz w:val="24"/>
          <w:szCs w:val="24"/>
        </w:rPr>
        <w:t>estimate</w:t>
      </w:r>
      <w:r w:rsidR="00182468">
        <w:rPr>
          <w:rFonts w:ascii="Times New Roman" w:hAnsi="Times New Roman"/>
          <w:sz w:val="24"/>
          <w:szCs w:val="24"/>
        </w:rPr>
        <w:t xml:space="preserve"> a wage premi</w:t>
      </w:r>
      <w:r w:rsidR="00565B20">
        <w:rPr>
          <w:rFonts w:ascii="Times New Roman" w:hAnsi="Times New Roman"/>
          <w:sz w:val="24"/>
          <w:szCs w:val="24"/>
        </w:rPr>
        <w:t>um</w:t>
      </w:r>
      <w:r w:rsidR="00182468">
        <w:rPr>
          <w:rFonts w:ascii="Times New Roman" w:hAnsi="Times New Roman"/>
          <w:sz w:val="24"/>
          <w:szCs w:val="24"/>
        </w:rPr>
        <w:t xml:space="preserve"> – that is, the average percentage increase in wages associated with one level of education compared to another, whist holding everything else constant. </w:t>
      </w:r>
      <w:r w:rsidR="009A7996">
        <w:rPr>
          <w:rFonts w:ascii="Times New Roman" w:hAnsi="Times New Roman"/>
          <w:sz w:val="24"/>
          <w:szCs w:val="24"/>
        </w:rPr>
        <w:t>When educational differences are captured by years of education, i</w:t>
      </w:r>
      <w:r w:rsidR="00182468">
        <w:rPr>
          <w:rFonts w:ascii="Times New Roman" w:hAnsi="Times New Roman"/>
          <w:sz w:val="24"/>
          <w:szCs w:val="24"/>
        </w:rPr>
        <w:t>t is common to see this referred to as a rate of retu</w:t>
      </w:r>
      <w:r w:rsidR="003B7225">
        <w:rPr>
          <w:rFonts w:ascii="Times New Roman" w:hAnsi="Times New Roman"/>
          <w:sz w:val="24"/>
          <w:szCs w:val="24"/>
        </w:rPr>
        <w:t>rn</w:t>
      </w:r>
      <w:r w:rsidR="00D8326E">
        <w:rPr>
          <w:rFonts w:ascii="Times New Roman" w:hAnsi="Times New Roman"/>
          <w:sz w:val="24"/>
          <w:szCs w:val="24"/>
        </w:rPr>
        <w:t>.</w:t>
      </w:r>
      <w:r w:rsidR="00182468">
        <w:rPr>
          <w:rFonts w:ascii="Times New Roman" w:hAnsi="Times New Roman"/>
          <w:sz w:val="24"/>
          <w:szCs w:val="24"/>
        </w:rPr>
        <w:t xml:space="preserve"> </w:t>
      </w:r>
      <w:r w:rsidR="00D8326E">
        <w:rPr>
          <w:rFonts w:ascii="Times New Roman" w:hAnsi="Times New Roman"/>
          <w:sz w:val="24"/>
          <w:szCs w:val="24"/>
        </w:rPr>
        <w:t>However, calling it</w:t>
      </w:r>
      <w:r w:rsidR="00D403D4">
        <w:rPr>
          <w:rFonts w:ascii="Times New Roman" w:hAnsi="Times New Roman"/>
          <w:sz w:val="24"/>
          <w:szCs w:val="24"/>
        </w:rPr>
        <w:t xml:space="preserve"> </w:t>
      </w:r>
      <w:r w:rsidR="00182468">
        <w:rPr>
          <w:rFonts w:ascii="Times New Roman" w:hAnsi="Times New Roman"/>
          <w:sz w:val="24"/>
          <w:szCs w:val="24"/>
        </w:rPr>
        <w:t>this is only correct under certain restrictive assumptions.</w:t>
      </w:r>
      <w:r w:rsidR="00182468">
        <w:rPr>
          <w:rStyle w:val="FootnoteReference"/>
          <w:rFonts w:ascii="Times New Roman" w:hAnsi="Times New Roman"/>
          <w:sz w:val="24"/>
          <w:szCs w:val="24"/>
        </w:rPr>
        <w:footnoteReference w:id="7"/>
      </w:r>
      <w:r w:rsidR="00182468">
        <w:rPr>
          <w:rFonts w:ascii="Times New Roman" w:hAnsi="Times New Roman"/>
          <w:sz w:val="24"/>
          <w:szCs w:val="24"/>
        </w:rPr>
        <w:t xml:space="preserve"> </w:t>
      </w:r>
      <w:r w:rsidR="001D1C0F">
        <w:rPr>
          <w:rFonts w:ascii="Times New Roman" w:hAnsi="Times New Roman"/>
          <w:sz w:val="24"/>
          <w:szCs w:val="24"/>
        </w:rPr>
        <w:t xml:space="preserve">Moreover, if education </w:t>
      </w:r>
      <w:r w:rsidR="00A71017">
        <w:rPr>
          <w:rFonts w:ascii="Times New Roman" w:hAnsi="Times New Roman"/>
          <w:sz w:val="24"/>
          <w:szCs w:val="24"/>
        </w:rPr>
        <w:t>att</w:t>
      </w:r>
      <w:r w:rsidR="009A7996">
        <w:rPr>
          <w:rFonts w:ascii="Times New Roman" w:hAnsi="Times New Roman"/>
          <w:sz w:val="24"/>
          <w:szCs w:val="24"/>
        </w:rPr>
        <w:t xml:space="preserve">ainment </w:t>
      </w:r>
      <w:r w:rsidR="001D1C0F">
        <w:rPr>
          <w:rFonts w:ascii="Times New Roman" w:hAnsi="Times New Roman"/>
          <w:sz w:val="24"/>
          <w:szCs w:val="24"/>
        </w:rPr>
        <w:t xml:space="preserve">levels or qualifications are used, </w:t>
      </w:r>
      <w:r>
        <w:rPr>
          <w:rFonts w:ascii="Times New Roman" w:hAnsi="Times New Roman"/>
          <w:sz w:val="24"/>
          <w:szCs w:val="24"/>
        </w:rPr>
        <w:t>the wage premia estimated</w:t>
      </w:r>
      <w:r w:rsidR="001D1C0F">
        <w:rPr>
          <w:rFonts w:ascii="Times New Roman" w:hAnsi="Times New Roman"/>
          <w:sz w:val="24"/>
          <w:szCs w:val="24"/>
        </w:rPr>
        <w:t xml:space="preserve"> </w:t>
      </w:r>
      <w:r>
        <w:rPr>
          <w:rFonts w:ascii="Times New Roman" w:hAnsi="Times New Roman"/>
          <w:sz w:val="24"/>
          <w:szCs w:val="24"/>
        </w:rPr>
        <w:t xml:space="preserve">cannot be interpreted as rates of return even if these </w:t>
      </w:r>
      <w:r w:rsidR="009A7996">
        <w:rPr>
          <w:rFonts w:ascii="Times New Roman" w:hAnsi="Times New Roman"/>
          <w:sz w:val="24"/>
          <w:szCs w:val="24"/>
        </w:rPr>
        <w:t>assumptions</w:t>
      </w:r>
      <w:r>
        <w:rPr>
          <w:rFonts w:ascii="Times New Roman" w:hAnsi="Times New Roman"/>
          <w:sz w:val="24"/>
          <w:szCs w:val="24"/>
        </w:rPr>
        <w:t xml:space="preserve"> were to hold</w:t>
      </w:r>
      <w:r w:rsidR="009A7996">
        <w:rPr>
          <w:rFonts w:ascii="Times New Roman" w:hAnsi="Times New Roman"/>
          <w:sz w:val="24"/>
          <w:szCs w:val="24"/>
        </w:rPr>
        <w:t xml:space="preserve"> – although this does</w:t>
      </w:r>
      <w:r w:rsidR="00565B20">
        <w:rPr>
          <w:rFonts w:ascii="Times New Roman" w:hAnsi="Times New Roman"/>
          <w:sz w:val="24"/>
          <w:szCs w:val="24"/>
        </w:rPr>
        <w:t xml:space="preserve"> no</w:t>
      </w:r>
      <w:r w:rsidR="009A7996">
        <w:rPr>
          <w:rFonts w:ascii="Times New Roman" w:hAnsi="Times New Roman"/>
          <w:sz w:val="24"/>
          <w:szCs w:val="24"/>
        </w:rPr>
        <w:t>t prevent</w:t>
      </w:r>
      <w:r w:rsidR="00836747">
        <w:rPr>
          <w:rFonts w:ascii="Times New Roman" w:hAnsi="Times New Roman"/>
          <w:sz w:val="24"/>
          <w:szCs w:val="24"/>
        </w:rPr>
        <w:t xml:space="preserve"> the terms being used interchangeably</w:t>
      </w:r>
      <w:r>
        <w:rPr>
          <w:rFonts w:ascii="Times New Roman" w:hAnsi="Times New Roman"/>
          <w:sz w:val="24"/>
          <w:szCs w:val="24"/>
        </w:rPr>
        <w:t xml:space="preserve">. </w:t>
      </w:r>
      <w:r w:rsidR="001D1C0F">
        <w:rPr>
          <w:rFonts w:ascii="Times New Roman" w:hAnsi="Times New Roman"/>
          <w:sz w:val="24"/>
          <w:szCs w:val="24"/>
        </w:rPr>
        <w:t xml:space="preserve"> </w:t>
      </w:r>
      <w:r w:rsidR="00182468">
        <w:rPr>
          <w:rFonts w:ascii="Times New Roman" w:hAnsi="Times New Roman"/>
          <w:sz w:val="24"/>
          <w:szCs w:val="24"/>
        </w:rPr>
        <w:t>In most cases,</w:t>
      </w:r>
      <w:r>
        <w:rPr>
          <w:rFonts w:ascii="Times New Roman" w:hAnsi="Times New Roman"/>
          <w:sz w:val="24"/>
          <w:szCs w:val="24"/>
        </w:rPr>
        <w:t xml:space="preserve"> then,</w:t>
      </w:r>
      <w:r w:rsidR="00182468">
        <w:rPr>
          <w:rFonts w:ascii="Times New Roman" w:hAnsi="Times New Roman"/>
          <w:sz w:val="24"/>
          <w:szCs w:val="24"/>
        </w:rPr>
        <w:t xml:space="preserve"> it is more accurate to calculate the rate of return of a particular educational investment in the same way a business would when contemplating an investment in new machinery or equipment, i.e. by assessing both the benefits </w:t>
      </w:r>
      <w:r w:rsidR="00182468" w:rsidRPr="00B33807">
        <w:rPr>
          <w:rFonts w:ascii="Times New Roman" w:hAnsi="Times New Roman"/>
          <w:i/>
          <w:sz w:val="24"/>
          <w:szCs w:val="24"/>
        </w:rPr>
        <w:t>and</w:t>
      </w:r>
      <w:r w:rsidR="00182468">
        <w:rPr>
          <w:rFonts w:ascii="Times New Roman" w:hAnsi="Times New Roman"/>
          <w:sz w:val="24"/>
          <w:szCs w:val="24"/>
        </w:rPr>
        <w:t xml:space="preserve"> the costs from the moment of purchase onwards. In the case of education and training, the benefits to an individual are those noted previously – an expectation of higher wages and better employment prospects throughout the working life – while the costs include course fees, forgone earnings and non-monetary costs like the effort required to study something challenging. Once these have been quantified, we can calculate the expected net present value (NPV) of the investment as follow:</w:t>
      </w:r>
      <w:r w:rsidR="00182468">
        <w:rPr>
          <w:rStyle w:val="FootnoteReference"/>
          <w:rFonts w:ascii="Times New Roman" w:hAnsi="Times New Roman"/>
          <w:sz w:val="24"/>
          <w:szCs w:val="24"/>
        </w:rPr>
        <w:footnoteReference w:id="8"/>
      </w:r>
    </w:p>
    <w:p w:rsidR="00182468" w:rsidRPr="00625FA1" w:rsidRDefault="00625FA1" w:rsidP="00182468">
      <w:pPr>
        <w:spacing w:line="360" w:lineRule="auto"/>
        <w:jc w:val="both"/>
        <w:rPr>
          <w:rFonts w:ascii="Times New Roman" w:hAnsi="Times New Roman"/>
          <w:sz w:val="24"/>
          <w:szCs w:val="24"/>
        </w:rPr>
      </w:pPr>
      <m:oMathPara>
        <m:oMathParaPr>
          <m:jc m:val="center"/>
        </m:oMathParaPr>
        <m:oMath>
          <m:r>
            <w:rPr>
              <w:rFonts w:ascii="Cambria Math" w:hAnsi="Cambria Math"/>
              <w:sz w:val="24"/>
              <w:szCs w:val="24"/>
            </w:rPr>
            <m:t>NPV=</m:t>
          </m:r>
          <m:nary>
            <m:naryPr>
              <m:chr m:val="∑"/>
              <m:limLoc m:val="undOvr"/>
              <m:ctrlPr>
                <w:rPr>
                  <w:rFonts w:ascii="Cambria Math" w:hAnsi="Cambria Math"/>
                  <w:i/>
                  <w:sz w:val="24"/>
                  <w:szCs w:val="24"/>
                </w:rPr>
              </m:ctrlPr>
            </m:naryPr>
            <m:sub>
              <m:r>
                <w:rPr>
                  <w:rFonts w:ascii="Cambria Math" w:hAnsi="Cambria Math"/>
                  <w:sz w:val="24"/>
                  <w:szCs w:val="24"/>
                </w:rPr>
                <m:t>t=0</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t</m:t>
                      </m:r>
                    </m:sup>
                  </m:sSup>
                </m:den>
              </m:f>
            </m:e>
          </m:nary>
        </m:oMath>
      </m:oMathPara>
    </w:p>
    <w:p w:rsidR="00182468" w:rsidRDefault="00182468" w:rsidP="00182468">
      <w:pPr>
        <w:spacing w:line="360" w:lineRule="auto"/>
        <w:jc w:val="both"/>
        <w:rPr>
          <w:rFonts w:ascii="Times New Roman" w:hAnsi="Times New Roman"/>
          <w:sz w:val="24"/>
          <w:szCs w:val="24"/>
        </w:rPr>
      </w:pPr>
      <w:r>
        <w:rPr>
          <w:rFonts w:ascii="Times New Roman" w:hAnsi="Times New Roman"/>
          <w:sz w:val="24"/>
          <w:szCs w:val="24"/>
        </w:rPr>
        <w:t xml:space="preserve">where E(.) indicates we are looking at expectations of values at the time of the decision, </w:t>
      </w:r>
      <w:r w:rsidRPr="001A6E56">
        <w:rPr>
          <w:rFonts w:ascii="Times New Roman" w:hAnsi="Times New Roman"/>
          <w:i/>
          <w:sz w:val="24"/>
          <w:szCs w:val="24"/>
        </w:rPr>
        <w:t>B</w:t>
      </w:r>
      <w:r w:rsidRPr="001A6E56">
        <w:rPr>
          <w:rFonts w:ascii="Times New Roman" w:hAnsi="Times New Roman"/>
          <w:i/>
          <w:sz w:val="24"/>
          <w:szCs w:val="24"/>
          <w:vertAlign w:val="subscript"/>
        </w:rPr>
        <w:t>t</w:t>
      </w:r>
      <w:r>
        <w:rPr>
          <w:rFonts w:ascii="Times New Roman" w:hAnsi="Times New Roman"/>
          <w:sz w:val="24"/>
          <w:szCs w:val="24"/>
        </w:rPr>
        <w:t xml:space="preserve"> and </w:t>
      </w:r>
      <w:r w:rsidRPr="001A6E56">
        <w:rPr>
          <w:rFonts w:ascii="Times New Roman" w:hAnsi="Times New Roman"/>
          <w:i/>
          <w:sz w:val="24"/>
          <w:szCs w:val="24"/>
        </w:rPr>
        <w:t>C</w:t>
      </w:r>
      <w:r w:rsidRPr="001A6E56">
        <w:rPr>
          <w:rFonts w:ascii="Times New Roman" w:hAnsi="Times New Roman"/>
          <w:i/>
          <w:sz w:val="24"/>
          <w:szCs w:val="24"/>
          <w:vertAlign w:val="subscript"/>
        </w:rPr>
        <w:t>t</w:t>
      </w:r>
      <w:r>
        <w:rPr>
          <w:rFonts w:ascii="Times New Roman" w:hAnsi="Times New Roman"/>
          <w:sz w:val="24"/>
          <w:szCs w:val="24"/>
        </w:rPr>
        <w:t xml:space="preserve"> are the benefits and costs at time </w:t>
      </w:r>
      <w:r w:rsidRPr="001A6E56">
        <w:rPr>
          <w:rFonts w:ascii="Times New Roman" w:hAnsi="Times New Roman"/>
          <w:i/>
          <w:sz w:val="24"/>
          <w:szCs w:val="24"/>
        </w:rPr>
        <w:t>t</w:t>
      </w:r>
      <w:r>
        <w:rPr>
          <w:rFonts w:ascii="Times New Roman" w:hAnsi="Times New Roman"/>
          <w:sz w:val="24"/>
          <w:szCs w:val="24"/>
        </w:rPr>
        <w:t xml:space="preserve">, and </w:t>
      </w:r>
      <w:r w:rsidRPr="001A6E56">
        <w:rPr>
          <w:rFonts w:ascii="Times New Roman" w:hAnsi="Times New Roman"/>
          <w:i/>
          <w:sz w:val="24"/>
          <w:szCs w:val="24"/>
        </w:rPr>
        <w:t>r</w:t>
      </w:r>
      <w:r>
        <w:rPr>
          <w:rFonts w:ascii="Times New Roman" w:hAnsi="Times New Roman"/>
          <w:sz w:val="24"/>
          <w:szCs w:val="24"/>
        </w:rPr>
        <w:t xml:space="preserve"> is the individual’s subjective discount rate – we typically assume future benefits and costs are valued less than those experienced in the present as people dislike have to wait for good things and like being able to delay bad things. For any investment where the costs occur early on and the benefits to the investor are delayed, the NPV to a particular individual depends on their own discount rate. The higher the discount rate, the lower the value placed on future outcomes relative to immediate ones, and consequently, the lower the NPV of the investment.</w:t>
      </w:r>
      <w:r w:rsidR="003B7225">
        <w:rPr>
          <w:rFonts w:ascii="Times New Roman" w:hAnsi="Times New Roman"/>
          <w:sz w:val="24"/>
          <w:szCs w:val="24"/>
        </w:rPr>
        <w:t xml:space="preserve"> </w:t>
      </w:r>
      <w:r>
        <w:rPr>
          <w:rFonts w:ascii="Times New Roman" w:hAnsi="Times New Roman"/>
          <w:sz w:val="24"/>
          <w:szCs w:val="24"/>
        </w:rPr>
        <w:t xml:space="preserve">The internal rate of return (IRR) of any investment, including those in skills and training, is defined as the rate at which future benefits would need to be </w:t>
      </w:r>
      <w:r>
        <w:rPr>
          <w:rFonts w:ascii="Times New Roman" w:hAnsi="Times New Roman"/>
          <w:sz w:val="24"/>
          <w:szCs w:val="24"/>
        </w:rPr>
        <w:lastRenderedPageBreak/>
        <w:t>discounted in order for the NPV to be equal</w:t>
      </w:r>
      <w:r w:rsidR="00565B20">
        <w:rPr>
          <w:rFonts w:ascii="Times New Roman" w:hAnsi="Times New Roman"/>
          <w:sz w:val="24"/>
          <w:szCs w:val="24"/>
        </w:rPr>
        <w:t xml:space="preserve"> to zero</w:t>
      </w:r>
      <w:r>
        <w:rPr>
          <w:rFonts w:ascii="Times New Roman" w:hAnsi="Times New Roman"/>
          <w:sz w:val="24"/>
          <w:szCs w:val="24"/>
        </w:rPr>
        <w:t xml:space="preserve"> i.e. for the investment to be just worthwhile. For individuals who discount the future at a lower rate than this, the investment has a positive NPV and should be pursued. For individuals with a high discount rate, such an investment would make them worse off and should not be accepted.</w:t>
      </w:r>
    </w:p>
    <w:p w:rsidR="00182468" w:rsidRPr="00C844CC" w:rsidRDefault="00182468" w:rsidP="00182468">
      <w:pPr>
        <w:spacing w:line="360" w:lineRule="auto"/>
        <w:jc w:val="both"/>
        <w:rPr>
          <w:rFonts w:ascii="Times New Roman" w:hAnsi="Times New Roman"/>
          <w:sz w:val="24"/>
          <w:szCs w:val="24"/>
        </w:rPr>
      </w:pPr>
      <w:r>
        <w:rPr>
          <w:rFonts w:ascii="Times New Roman" w:hAnsi="Times New Roman"/>
          <w:sz w:val="24"/>
          <w:szCs w:val="24"/>
        </w:rPr>
        <w:t>Giv</w:t>
      </w:r>
      <w:r w:rsidR="00A2200A">
        <w:rPr>
          <w:rFonts w:ascii="Times New Roman" w:hAnsi="Times New Roman"/>
          <w:sz w:val="24"/>
          <w:szCs w:val="24"/>
        </w:rPr>
        <w:t xml:space="preserve">en the assumptions in footnote </w:t>
      </w:r>
      <w:r w:rsidR="00A2200A" w:rsidRPr="0023083E">
        <w:rPr>
          <w:rFonts w:ascii="Times New Roman" w:hAnsi="Times New Roman"/>
          <w:sz w:val="24"/>
          <w:szCs w:val="24"/>
        </w:rPr>
        <w:t>7</w:t>
      </w:r>
      <w:r>
        <w:rPr>
          <w:rFonts w:ascii="Times New Roman" w:hAnsi="Times New Roman"/>
          <w:sz w:val="24"/>
          <w:szCs w:val="24"/>
        </w:rPr>
        <w:t xml:space="preserve">, the IRR and the wage premium to </w:t>
      </w:r>
      <w:r w:rsidR="00255E09">
        <w:rPr>
          <w:rFonts w:ascii="Times New Roman" w:hAnsi="Times New Roman"/>
          <w:sz w:val="24"/>
          <w:szCs w:val="24"/>
        </w:rPr>
        <w:t xml:space="preserve">an extra year of educational or training </w:t>
      </w:r>
      <w:r>
        <w:rPr>
          <w:rFonts w:ascii="Times New Roman" w:hAnsi="Times New Roman"/>
          <w:sz w:val="24"/>
          <w:szCs w:val="24"/>
        </w:rPr>
        <w:t>investment becomes the same thing</w:t>
      </w:r>
      <w:r w:rsidR="002A6705">
        <w:rPr>
          <w:rFonts w:ascii="Times New Roman" w:hAnsi="Times New Roman"/>
          <w:sz w:val="24"/>
          <w:szCs w:val="24"/>
        </w:rPr>
        <w:t xml:space="preserve">. </w:t>
      </w:r>
      <w:r w:rsidR="007A4A4F">
        <w:rPr>
          <w:rFonts w:ascii="Times New Roman" w:hAnsi="Times New Roman"/>
          <w:sz w:val="24"/>
          <w:szCs w:val="24"/>
        </w:rPr>
        <w:t>To see this, l</w:t>
      </w:r>
      <w:r>
        <w:rPr>
          <w:rFonts w:ascii="Times New Roman" w:hAnsi="Times New Roman"/>
          <w:sz w:val="24"/>
          <w:szCs w:val="24"/>
        </w:rPr>
        <w:t xml:space="preserve">et the wage premium arising from the investment be </w:t>
      </w:r>
      <w:r w:rsidRPr="00FA0FAD">
        <w:rPr>
          <w:rFonts w:ascii="Times New Roman" w:hAnsi="Times New Roman"/>
          <w:i/>
          <w:sz w:val="24"/>
          <w:szCs w:val="24"/>
        </w:rPr>
        <w:t>b</w:t>
      </w:r>
      <w:r>
        <w:rPr>
          <w:rFonts w:ascii="Times New Roman" w:hAnsi="Times New Roman"/>
          <w:sz w:val="24"/>
          <w:szCs w:val="24"/>
        </w:rPr>
        <w:t xml:space="preserve"> and </w:t>
      </w:r>
      <w:r w:rsidR="00A71017">
        <w:rPr>
          <w:rFonts w:ascii="Times New Roman" w:hAnsi="Times New Roman"/>
          <w:sz w:val="24"/>
          <w:szCs w:val="24"/>
        </w:rPr>
        <w:t>suppose</w:t>
      </w:r>
      <w:r>
        <w:rPr>
          <w:rFonts w:ascii="Times New Roman" w:hAnsi="Times New Roman"/>
          <w:sz w:val="24"/>
          <w:szCs w:val="24"/>
        </w:rPr>
        <w:t xml:space="preserve"> earnings</w:t>
      </w:r>
      <w:r w:rsidR="00A71017">
        <w:rPr>
          <w:rFonts w:ascii="Times New Roman" w:hAnsi="Times New Roman"/>
          <w:sz w:val="24"/>
          <w:szCs w:val="24"/>
        </w:rPr>
        <w:t xml:space="preserve"> </w:t>
      </w:r>
      <w:r>
        <w:rPr>
          <w:rFonts w:ascii="Times New Roman" w:hAnsi="Times New Roman"/>
          <w:sz w:val="24"/>
          <w:szCs w:val="24"/>
        </w:rPr>
        <w:t xml:space="preserve">before the investment </w:t>
      </w:r>
      <w:r w:rsidR="00A71017">
        <w:rPr>
          <w:rFonts w:ascii="Times New Roman" w:hAnsi="Times New Roman"/>
          <w:sz w:val="24"/>
          <w:szCs w:val="24"/>
        </w:rPr>
        <w:t xml:space="preserve">are standardised </w:t>
      </w:r>
      <w:r>
        <w:rPr>
          <w:rFonts w:ascii="Times New Roman" w:hAnsi="Times New Roman"/>
          <w:sz w:val="24"/>
          <w:szCs w:val="24"/>
        </w:rPr>
        <w:t xml:space="preserve">to 1 (so in the first period, the cost is from forgoing these earnings and in all other periods, the benefits are </w:t>
      </w:r>
      <w:r>
        <w:rPr>
          <w:rFonts w:ascii="Times New Roman" w:hAnsi="Times New Roman"/>
          <w:i/>
          <w:sz w:val="24"/>
          <w:szCs w:val="24"/>
        </w:rPr>
        <w:t xml:space="preserve">b × </w:t>
      </w:r>
      <w:r w:rsidRPr="00C844CC">
        <w:rPr>
          <w:rFonts w:ascii="Times New Roman" w:hAnsi="Times New Roman"/>
          <w:i/>
          <w:sz w:val="24"/>
          <w:szCs w:val="24"/>
        </w:rPr>
        <w:t>1</w:t>
      </w:r>
      <w:r>
        <w:rPr>
          <w:rFonts w:ascii="Times New Roman" w:hAnsi="Times New Roman"/>
          <w:i/>
          <w:sz w:val="24"/>
          <w:szCs w:val="24"/>
        </w:rPr>
        <w:t xml:space="preserve"> </w:t>
      </w:r>
      <w:r w:rsidRPr="00C844CC">
        <w:rPr>
          <w:rFonts w:ascii="Times New Roman" w:hAnsi="Times New Roman"/>
          <w:i/>
          <w:sz w:val="24"/>
          <w:szCs w:val="24"/>
        </w:rPr>
        <w:t>=</w:t>
      </w:r>
      <w:r>
        <w:rPr>
          <w:rFonts w:ascii="Times New Roman" w:hAnsi="Times New Roman"/>
          <w:i/>
          <w:sz w:val="24"/>
          <w:szCs w:val="24"/>
        </w:rPr>
        <w:t xml:space="preserve"> </w:t>
      </w:r>
      <w:r w:rsidRPr="00C844CC">
        <w:rPr>
          <w:rFonts w:ascii="Times New Roman" w:hAnsi="Times New Roman"/>
          <w:i/>
          <w:sz w:val="24"/>
          <w:szCs w:val="24"/>
        </w:rPr>
        <w:t>b</w:t>
      </w:r>
      <w:r w:rsidR="00A71017">
        <w:rPr>
          <w:rFonts w:ascii="Times New Roman" w:hAnsi="Times New Roman"/>
          <w:sz w:val="24"/>
          <w:szCs w:val="24"/>
        </w:rPr>
        <w:t>). Then,</w:t>
      </w:r>
      <w:r>
        <w:rPr>
          <w:rFonts w:ascii="Times New Roman" w:hAnsi="Times New Roman"/>
          <w:sz w:val="24"/>
          <w:szCs w:val="24"/>
        </w:rPr>
        <w:t xml:space="preserve"> the NPV calculation becomes:</w:t>
      </w:r>
    </w:p>
    <w:p w:rsidR="00182468" w:rsidRPr="00625FA1" w:rsidRDefault="00625FA1" w:rsidP="00182468">
      <w:pPr>
        <w:spacing w:line="360" w:lineRule="auto"/>
        <w:jc w:val="both"/>
        <w:rPr>
          <w:rFonts w:ascii="Times New Roman" w:hAnsi="Times New Roman"/>
          <w:sz w:val="24"/>
          <w:szCs w:val="24"/>
        </w:rPr>
      </w:pPr>
      <m:oMathPara>
        <m:oMathParaPr>
          <m:jc m:val="center"/>
        </m:oMathParaPr>
        <m:oMath>
          <m:r>
            <w:rPr>
              <w:rFonts w:ascii="Cambria Math" w:hAnsi="Cambria Math"/>
              <w:sz w:val="24"/>
              <w:szCs w:val="24"/>
            </w:rPr>
            <m:t>NPV=-1+b</m:t>
          </m:r>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t</m:t>
                      </m:r>
                    </m:sup>
                  </m:sSup>
                </m:den>
              </m:f>
            </m:e>
          </m:nary>
        </m:oMath>
      </m:oMathPara>
    </w:p>
    <w:p w:rsidR="00182468" w:rsidRDefault="00182468" w:rsidP="00182468">
      <w:pPr>
        <w:spacing w:line="360" w:lineRule="auto"/>
        <w:jc w:val="both"/>
        <w:rPr>
          <w:rFonts w:ascii="Times New Roman" w:hAnsi="Times New Roman"/>
          <w:sz w:val="24"/>
          <w:szCs w:val="24"/>
        </w:rPr>
      </w:pPr>
      <w:r>
        <w:rPr>
          <w:rFonts w:ascii="Times New Roman" w:hAnsi="Times New Roman"/>
          <w:sz w:val="24"/>
          <w:szCs w:val="24"/>
        </w:rPr>
        <w:t xml:space="preserve">The sum of the discount factors for each period in the future can be shown to be approximately equal to </w:t>
      </w:r>
      <w:r w:rsidRPr="00C844CC">
        <w:rPr>
          <w:rFonts w:ascii="Times New Roman" w:hAnsi="Times New Roman"/>
          <w:i/>
          <w:sz w:val="24"/>
          <w:szCs w:val="24"/>
        </w:rPr>
        <w:t>1/r</w:t>
      </w:r>
      <w:r w:rsidR="00A2200A" w:rsidRPr="00A2200A">
        <w:rPr>
          <w:rFonts w:ascii="Times New Roman" w:hAnsi="Times New Roman"/>
          <w:sz w:val="24"/>
          <w:szCs w:val="24"/>
        </w:rPr>
        <w:t>,</w:t>
      </w:r>
      <w:r>
        <w:rPr>
          <w:rStyle w:val="FootnoteReference"/>
          <w:rFonts w:ascii="Times New Roman" w:hAnsi="Times New Roman"/>
          <w:i/>
          <w:sz w:val="24"/>
          <w:szCs w:val="24"/>
        </w:rPr>
        <w:footnoteReference w:id="9"/>
      </w:r>
      <w:r>
        <w:rPr>
          <w:rFonts w:ascii="Times New Roman" w:hAnsi="Times New Roman"/>
          <w:sz w:val="24"/>
          <w:szCs w:val="24"/>
        </w:rPr>
        <w:t xml:space="preserve"> which means that NPV will be equal to zero if </w:t>
      </w:r>
      <w:r w:rsidRPr="00823450">
        <w:rPr>
          <w:rFonts w:ascii="Times New Roman" w:hAnsi="Times New Roman"/>
          <w:i/>
          <w:sz w:val="24"/>
          <w:szCs w:val="24"/>
        </w:rPr>
        <w:t>b = r</w:t>
      </w:r>
      <w:r>
        <w:rPr>
          <w:rFonts w:ascii="Times New Roman" w:hAnsi="Times New Roman"/>
          <w:sz w:val="24"/>
          <w:szCs w:val="24"/>
        </w:rPr>
        <w:t>, or if the wage premium equals the IRR.</w:t>
      </w:r>
      <w:r w:rsidR="007A4A4F">
        <w:rPr>
          <w:rFonts w:ascii="Times New Roman" w:hAnsi="Times New Roman"/>
          <w:sz w:val="24"/>
          <w:szCs w:val="24"/>
        </w:rPr>
        <w:t xml:space="preserve"> </w:t>
      </w:r>
    </w:p>
    <w:p w:rsidR="002B05C0" w:rsidRPr="0027426B" w:rsidRDefault="00175860" w:rsidP="00940760">
      <w:pPr>
        <w:spacing w:line="360" w:lineRule="auto"/>
        <w:jc w:val="both"/>
        <w:rPr>
          <w:rFonts w:ascii="Times New Roman" w:hAnsi="Times New Roman"/>
          <w:i/>
          <w:sz w:val="24"/>
          <w:szCs w:val="24"/>
        </w:rPr>
      </w:pPr>
      <w:r>
        <w:rPr>
          <w:rFonts w:ascii="Times New Roman" w:hAnsi="Times New Roman"/>
          <w:i/>
          <w:sz w:val="24"/>
          <w:szCs w:val="24"/>
        </w:rPr>
        <w:t>3.</w:t>
      </w:r>
      <w:r w:rsidR="003B7225">
        <w:rPr>
          <w:rFonts w:ascii="Times New Roman" w:hAnsi="Times New Roman"/>
          <w:i/>
          <w:sz w:val="24"/>
          <w:szCs w:val="24"/>
        </w:rPr>
        <w:t>3</w:t>
      </w:r>
      <w:r w:rsidR="003B7225">
        <w:rPr>
          <w:rFonts w:ascii="Times New Roman" w:hAnsi="Times New Roman"/>
          <w:i/>
          <w:sz w:val="24"/>
          <w:szCs w:val="24"/>
        </w:rPr>
        <w:tab/>
      </w:r>
      <w:r w:rsidR="0027426B" w:rsidRPr="0027426B">
        <w:rPr>
          <w:rFonts w:ascii="Times New Roman" w:hAnsi="Times New Roman"/>
          <w:i/>
          <w:sz w:val="24"/>
          <w:szCs w:val="24"/>
        </w:rPr>
        <w:t xml:space="preserve">Overview of </w:t>
      </w:r>
      <w:r w:rsidR="0027426B">
        <w:rPr>
          <w:rFonts w:ascii="Times New Roman" w:hAnsi="Times New Roman"/>
          <w:i/>
          <w:sz w:val="24"/>
          <w:szCs w:val="24"/>
        </w:rPr>
        <w:t>existing wage equation estimates</w:t>
      </w:r>
    </w:p>
    <w:p w:rsidR="001F326A" w:rsidRDefault="00131F3A" w:rsidP="001F326A">
      <w:pPr>
        <w:spacing w:line="360" w:lineRule="auto"/>
        <w:jc w:val="both"/>
        <w:rPr>
          <w:rFonts w:ascii="Times New Roman" w:hAnsi="Times New Roman"/>
          <w:sz w:val="24"/>
          <w:szCs w:val="24"/>
        </w:rPr>
      </w:pPr>
      <w:r>
        <w:rPr>
          <w:rFonts w:ascii="Times New Roman" w:hAnsi="Times New Roman"/>
          <w:sz w:val="24"/>
          <w:szCs w:val="24"/>
        </w:rPr>
        <w:t xml:space="preserve">There would not be sufficient space in this Handbook, let alone this chapter, to give a detailed survey of the many estimates of wage equations that have been conducted across different countries, time periods and available datasets. In this subsection, I give a brief overview of some recent estimates to illustrate the magnitude of the effects commonly found from a </w:t>
      </w:r>
      <w:r w:rsidR="00542360">
        <w:rPr>
          <w:rFonts w:ascii="Times New Roman" w:hAnsi="Times New Roman"/>
          <w:sz w:val="24"/>
          <w:szCs w:val="24"/>
        </w:rPr>
        <w:t>select</w:t>
      </w:r>
      <w:r>
        <w:rPr>
          <w:rFonts w:ascii="Times New Roman" w:hAnsi="Times New Roman"/>
          <w:sz w:val="24"/>
          <w:szCs w:val="24"/>
        </w:rPr>
        <w:t xml:space="preserve"> number of </w:t>
      </w:r>
      <w:r w:rsidR="00542360">
        <w:rPr>
          <w:rFonts w:ascii="Times New Roman" w:hAnsi="Times New Roman"/>
          <w:sz w:val="24"/>
          <w:szCs w:val="24"/>
        </w:rPr>
        <w:t>studies</w:t>
      </w:r>
      <w:r>
        <w:rPr>
          <w:rFonts w:ascii="Times New Roman" w:hAnsi="Times New Roman"/>
          <w:sz w:val="24"/>
          <w:szCs w:val="24"/>
        </w:rPr>
        <w:t>.</w:t>
      </w:r>
      <w:r w:rsidR="001F326A">
        <w:rPr>
          <w:rFonts w:ascii="Times New Roman" w:hAnsi="Times New Roman"/>
          <w:sz w:val="24"/>
          <w:szCs w:val="24"/>
        </w:rPr>
        <w:t xml:space="preserve"> The three studies which give us the broadest range of estimates for the returns to education are two produced for the World Bank (</w:t>
      </w:r>
      <w:r w:rsidR="00DE177C" w:rsidRPr="00DE177C">
        <w:rPr>
          <w:rFonts w:ascii="Times New Roman" w:hAnsi="Times New Roman"/>
          <w:sz w:val="24"/>
          <w:szCs w:val="24"/>
        </w:rPr>
        <w:t xml:space="preserve">Psacharopoulos </w:t>
      </w:r>
      <w:r w:rsidR="00DE177C">
        <w:rPr>
          <w:rFonts w:ascii="Times New Roman" w:hAnsi="Times New Roman"/>
          <w:sz w:val="24"/>
          <w:szCs w:val="24"/>
        </w:rPr>
        <w:t>and</w:t>
      </w:r>
      <w:r w:rsidR="00DE177C" w:rsidRPr="00DE177C">
        <w:rPr>
          <w:rFonts w:ascii="Times New Roman" w:hAnsi="Times New Roman"/>
          <w:sz w:val="24"/>
          <w:szCs w:val="24"/>
        </w:rPr>
        <w:t xml:space="preserve"> Patrinos</w:t>
      </w:r>
      <w:r w:rsidR="001F326A">
        <w:rPr>
          <w:rFonts w:ascii="Times New Roman" w:hAnsi="Times New Roman"/>
          <w:sz w:val="24"/>
          <w:szCs w:val="24"/>
        </w:rPr>
        <w:t>, 2</w:t>
      </w:r>
      <w:r w:rsidR="00DE177C">
        <w:rPr>
          <w:rFonts w:ascii="Times New Roman" w:hAnsi="Times New Roman"/>
          <w:sz w:val="24"/>
          <w:szCs w:val="24"/>
        </w:rPr>
        <w:t>004</w:t>
      </w:r>
      <w:r w:rsidR="001F326A">
        <w:rPr>
          <w:rFonts w:ascii="Times New Roman" w:hAnsi="Times New Roman"/>
          <w:sz w:val="24"/>
          <w:szCs w:val="24"/>
        </w:rPr>
        <w:t xml:space="preserve"> and Montenegro and Patrinos, 2014) and the OECD’s annual review of educational outcomes (OECD, 2014). </w:t>
      </w:r>
      <w:r w:rsidR="004407E5">
        <w:rPr>
          <w:rFonts w:ascii="Times New Roman" w:hAnsi="Times New Roman"/>
          <w:sz w:val="24"/>
          <w:szCs w:val="24"/>
        </w:rPr>
        <w:t>The three studies have different approaches – the OECD calculate</w:t>
      </w:r>
      <w:r w:rsidR="00D403D4">
        <w:rPr>
          <w:rFonts w:ascii="Times New Roman" w:hAnsi="Times New Roman"/>
          <w:sz w:val="24"/>
          <w:szCs w:val="24"/>
        </w:rPr>
        <w:t>s</w:t>
      </w:r>
      <w:r w:rsidR="004407E5">
        <w:rPr>
          <w:rFonts w:ascii="Times New Roman" w:hAnsi="Times New Roman"/>
          <w:sz w:val="24"/>
          <w:szCs w:val="24"/>
        </w:rPr>
        <w:t xml:space="preserve"> full internal rates of return while Montenegro and Patrinos (2014) uses the Mincerian </w:t>
      </w:r>
      <w:r w:rsidR="00244C00">
        <w:rPr>
          <w:rFonts w:ascii="Times New Roman" w:hAnsi="Times New Roman"/>
          <w:sz w:val="24"/>
          <w:szCs w:val="24"/>
        </w:rPr>
        <w:t xml:space="preserve">wage premium </w:t>
      </w:r>
      <w:r w:rsidR="004407E5">
        <w:rPr>
          <w:rFonts w:ascii="Times New Roman" w:hAnsi="Times New Roman"/>
          <w:sz w:val="24"/>
          <w:szCs w:val="24"/>
        </w:rPr>
        <w:t xml:space="preserve">approach. </w:t>
      </w:r>
      <w:r w:rsidR="004407E5" w:rsidRPr="00DE177C">
        <w:rPr>
          <w:rFonts w:ascii="Times New Roman" w:hAnsi="Times New Roman"/>
          <w:sz w:val="24"/>
          <w:szCs w:val="24"/>
        </w:rPr>
        <w:t xml:space="preserve">Psacharopoulos </w:t>
      </w:r>
      <w:r w:rsidR="004407E5">
        <w:rPr>
          <w:rFonts w:ascii="Times New Roman" w:hAnsi="Times New Roman"/>
          <w:sz w:val="24"/>
          <w:szCs w:val="24"/>
        </w:rPr>
        <w:t>and</w:t>
      </w:r>
      <w:r w:rsidR="004407E5" w:rsidRPr="00DE177C">
        <w:rPr>
          <w:rFonts w:ascii="Times New Roman" w:hAnsi="Times New Roman"/>
          <w:sz w:val="24"/>
          <w:szCs w:val="24"/>
        </w:rPr>
        <w:t xml:space="preserve"> Patrinos</w:t>
      </w:r>
      <w:r w:rsidR="004407E5">
        <w:rPr>
          <w:rFonts w:ascii="Times New Roman" w:hAnsi="Times New Roman"/>
          <w:sz w:val="24"/>
          <w:szCs w:val="24"/>
        </w:rPr>
        <w:t xml:space="preserve"> (2004), which surveys existing studies</w:t>
      </w:r>
      <w:r w:rsidR="00D403D4">
        <w:rPr>
          <w:rFonts w:ascii="Times New Roman" w:hAnsi="Times New Roman"/>
          <w:sz w:val="24"/>
          <w:szCs w:val="24"/>
        </w:rPr>
        <w:t>,</w:t>
      </w:r>
      <w:r w:rsidR="004407E5">
        <w:rPr>
          <w:rFonts w:ascii="Times New Roman" w:hAnsi="Times New Roman"/>
          <w:sz w:val="24"/>
          <w:szCs w:val="24"/>
        </w:rPr>
        <w:t xml:space="preserve"> combines both approaches.</w:t>
      </w:r>
      <w:r w:rsidR="00244C00">
        <w:rPr>
          <w:rFonts w:ascii="Times New Roman" w:hAnsi="Times New Roman"/>
          <w:sz w:val="24"/>
          <w:szCs w:val="24"/>
        </w:rPr>
        <w:t xml:space="preserve"> Table 3.1 shows a range of the estimates from these studies. The first column, taken from </w:t>
      </w:r>
      <w:r w:rsidR="00244C00" w:rsidRPr="00DE177C">
        <w:rPr>
          <w:rFonts w:ascii="Times New Roman" w:hAnsi="Times New Roman"/>
          <w:sz w:val="24"/>
          <w:szCs w:val="24"/>
        </w:rPr>
        <w:t xml:space="preserve">Psacharopoulos </w:t>
      </w:r>
      <w:r w:rsidR="00244C00">
        <w:rPr>
          <w:rFonts w:ascii="Times New Roman" w:hAnsi="Times New Roman"/>
          <w:sz w:val="24"/>
          <w:szCs w:val="24"/>
        </w:rPr>
        <w:t>and</w:t>
      </w:r>
      <w:r w:rsidR="00244C00" w:rsidRPr="00DE177C">
        <w:rPr>
          <w:rFonts w:ascii="Times New Roman" w:hAnsi="Times New Roman"/>
          <w:sz w:val="24"/>
          <w:szCs w:val="24"/>
        </w:rPr>
        <w:t xml:space="preserve"> Patrinos</w:t>
      </w:r>
      <w:r w:rsidR="00244C00">
        <w:rPr>
          <w:rFonts w:ascii="Times New Roman" w:hAnsi="Times New Roman"/>
          <w:sz w:val="24"/>
          <w:szCs w:val="24"/>
        </w:rPr>
        <w:t xml:space="preserve"> (2004), </w:t>
      </w:r>
      <w:r w:rsidR="003B7225">
        <w:rPr>
          <w:rFonts w:ascii="Times New Roman" w:hAnsi="Times New Roman"/>
          <w:sz w:val="24"/>
          <w:szCs w:val="24"/>
        </w:rPr>
        <w:t xml:space="preserve">gives what was </w:t>
      </w:r>
      <w:r w:rsidR="00244C00">
        <w:rPr>
          <w:rFonts w:ascii="Times New Roman" w:hAnsi="Times New Roman"/>
          <w:sz w:val="24"/>
          <w:szCs w:val="24"/>
        </w:rPr>
        <w:t xml:space="preserve">the most recent estimate at time of publication </w:t>
      </w:r>
      <w:r w:rsidR="003B7225">
        <w:rPr>
          <w:rFonts w:ascii="Times New Roman" w:hAnsi="Times New Roman"/>
          <w:sz w:val="24"/>
          <w:szCs w:val="24"/>
        </w:rPr>
        <w:t xml:space="preserve">for </w:t>
      </w:r>
      <w:r w:rsidR="00244C00">
        <w:rPr>
          <w:rFonts w:ascii="Times New Roman" w:hAnsi="Times New Roman"/>
          <w:sz w:val="24"/>
          <w:szCs w:val="24"/>
        </w:rPr>
        <w:t>the Mincerian wage premium on an additional year of educati</w:t>
      </w:r>
      <w:r w:rsidR="00790944">
        <w:rPr>
          <w:rFonts w:ascii="Times New Roman" w:hAnsi="Times New Roman"/>
          <w:sz w:val="24"/>
          <w:szCs w:val="24"/>
        </w:rPr>
        <w:t xml:space="preserve">on. </w:t>
      </w:r>
      <w:r w:rsidR="003B7225">
        <w:rPr>
          <w:rFonts w:ascii="Times New Roman" w:hAnsi="Times New Roman"/>
          <w:sz w:val="24"/>
          <w:szCs w:val="24"/>
        </w:rPr>
        <w:t xml:space="preserve">As it </w:t>
      </w:r>
      <w:r w:rsidR="003B7225">
        <w:rPr>
          <w:rFonts w:ascii="Times New Roman" w:hAnsi="Times New Roman"/>
          <w:sz w:val="24"/>
          <w:szCs w:val="24"/>
        </w:rPr>
        <w:lastRenderedPageBreak/>
        <w:t>surveys existing work, t</w:t>
      </w:r>
      <w:r w:rsidR="00790944">
        <w:rPr>
          <w:rFonts w:ascii="Times New Roman" w:hAnsi="Times New Roman"/>
          <w:sz w:val="24"/>
          <w:szCs w:val="24"/>
        </w:rPr>
        <w:t>he timing of these estimates here var</w:t>
      </w:r>
      <w:r w:rsidR="003B7225">
        <w:rPr>
          <w:rFonts w:ascii="Times New Roman" w:hAnsi="Times New Roman"/>
          <w:sz w:val="24"/>
          <w:szCs w:val="24"/>
        </w:rPr>
        <w:t>ies</w:t>
      </w:r>
      <w:r w:rsidR="00790944">
        <w:rPr>
          <w:rFonts w:ascii="Times New Roman" w:hAnsi="Times New Roman"/>
          <w:sz w:val="24"/>
          <w:szCs w:val="24"/>
        </w:rPr>
        <w:t xml:space="preserve"> from 1977 in the case of the France</w:t>
      </w:r>
      <w:r w:rsidR="004407E5">
        <w:rPr>
          <w:rFonts w:ascii="Times New Roman" w:hAnsi="Times New Roman"/>
          <w:sz w:val="24"/>
          <w:szCs w:val="24"/>
        </w:rPr>
        <w:t xml:space="preserve"> </w:t>
      </w:r>
      <w:r w:rsidR="00790944">
        <w:rPr>
          <w:rFonts w:ascii="Times New Roman" w:hAnsi="Times New Roman"/>
          <w:sz w:val="24"/>
          <w:szCs w:val="24"/>
        </w:rPr>
        <w:t xml:space="preserve">to 1995 in the case of the US. The second column gives the more recent set of wage premium estimates produced by Montenegro and Patrinos (2014) for an extra year of education – the column gives the range of estimates from years in the period 2000-2010. The final two columns are from the OECD’s internal rate of return calculations for participation in </w:t>
      </w:r>
      <w:r w:rsidR="00B3290F">
        <w:rPr>
          <w:rFonts w:ascii="Times New Roman" w:hAnsi="Times New Roman"/>
          <w:sz w:val="24"/>
          <w:szCs w:val="24"/>
        </w:rPr>
        <w:t xml:space="preserve">and completion of academic and vocational programmes </w:t>
      </w:r>
      <w:r w:rsidR="00790944">
        <w:rPr>
          <w:rFonts w:ascii="Times New Roman" w:hAnsi="Times New Roman"/>
          <w:sz w:val="24"/>
          <w:szCs w:val="24"/>
        </w:rPr>
        <w:t xml:space="preserve">at the levels of ISCED 3-4 </w:t>
      </w:r>
      <w:r w:rsidR="00EC0F71">
        <w:rPr>
          <w:rFonts w:ascii="Times New Roman" w:hAnsi="Times New Roman"/>
          <w:sz w:val="24"/>
          <w:szCs w:val="24"/>
        </w:rPr>
        <w:t xml:space="preserve">(compared to ISCED 2) </w:t>
      </w:r>
      <w:r w:rsidR="00790944">
        <w:rPr>
          <w:rFonts w:ascii="Times New Roman" w:hAnsi="Times New Roman"/>
          <w:sz w:val="24"/>
          <w:szCs w:val="24"/>
        </w:rPr>
        <w:t>and ISCED 5 (</w:t>
      </w:r>
      <w:r w:rsidR="00EC0F71">
        <w:rPr>
          <w:rFonts w:ascii="Times New Roman" w:hAnsi="Times New Roman"/>
          <w:sz w:val="24"/>
          <w:szCs w:val="24"/>
        </w:rPr>
        <w:t>compared to</w:t>
      </w:r>
      <w:r w:rsidR="00790944">
        <w:rPr>
          <w:rFonts w:ascii="Times New Roman" w:hAnsi="Times New Roman"/>
          <w:sz w:val="24"/>
          <w:szCs w:val="24"/>
        </w:rPr>
        <w:t xml:space="preserve"> ISCED 3-4). Almost all of these estimates come from 20</w:t>
      </w:r>
      <w:r w:rsidR="00C50CB2">
        <w:rPr>
          <w:rFonts w:ascii="Times New Roman" w:hAnsi="Times New Roman"/>
          <w:sz w:val="24"/>
          <w:szCs w:val="24"/>
        </w:rPr>
        <w:t>10 earnings and employment data, with the exception of Australia (2009), Italy (2008) and Japan (2007).</w:t>
      </w:r>
    </w:p>
    <w:p w:rsidR="00F86ED8" w:rsidRPr="00F86ED8" w:rsidRDefault="00F86ED8" w:rsidP="00940760">
      <w:pPr>
        <w:spacing w:line="360" w:lineRule="auto"/>
        <w:jc w:val="both"/>
        <w:rPr>
          <w:rFonts w:ascii="Times New Roman" w:hAnsi="Times New Roman"/>
          <w:i/>
          <w:sz w:val="24"/>
          <w:szCs w:val="24"/>
        </w:rPr>
      </w:pPr>
      <w:r w:rsidRPr="00F86ED8">
        <w:rPr>
          <w:rFonts w:ascii="Times New Roman" w:hAnsi="Times New Roman"/>
          <w:i/>
          <w:sz w:val="24"/>
          <w:szCs w:val="24"/>
        </w:rPr>
        <w:t>Table 3.1</w:t>
      </w:r>
      <w:r w:rsidR="001F326A">
        <w:rPr>
          <w:rFonts w:ascii="Times New Roman" w:hAnsi="Times New Roman"/>
          <w:i/>
          <w:sz w:val="24"/>
          <w:szCs w:val="24"/>
        </w:rPr>
        <w:t>: Selected wage premia and rates of return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104"/>
        <w:gridCol w:w="1726"/>
        <w:gridCol w:w="1599"/>
        <w:gridCol w:w="1594"/>
      </w:tblGrid>
      <w:tr w:rsidR="00D403D4" w:rsidRPr="00714943" w:rsidTr="00714943">
        <w:trPr>
          <w:jc w:val="center"/>
        </w:trPr>
        <w:tc>
          <w:tcPr>
            <w:tcW w:w="1105"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Country</w:t>
            </w:r>
          </w:p>
        </w:tc>
        <w:tc>
          <w:tcPr>
            <w:tcW w:w="1167"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Wage premium, years of education (Psacharopoulos and Patrinos, 2004)</w:t>
            </w:r>
          </w:p>
        </w:tc>
        <w:tc>
          <w:tcPr>
            <w:tcW w:w="957"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Wage premium (Montenegro and Patrinos, 2014)</w:t>
            </w:r>
          </w:p>
        </w:tc>
        <w:tc>
          <w:tcPr>
            <w:tcW w:w="887"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IRR, upper secondary or post-compulsory education, (OECD, 2014)</w:t>
            </w:r>
          </w:p>
        </w:tc>
        <w:tc>
          <w:tcPr>
            <w:tcW w:w="884"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IRR, tertiary education, (OECD, 2014)</w:t>
            </w:r>
          </w:p>
        </w:tc>
      </w:tr>
      <w:tr w:rsidR="00D403D4" w:rsidRPr="00714943" w:rsidTr="00714943">
        <w:trPr>
          <w:jc w:val="center"/>
        </w:trPr>
        <w:tc>
          <w:tcPr>
            <w:tcW w:w="1105"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United Kingdom</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6.8%</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7.6 – 11.9%</w:t>
            </w:r>
          </w:p>
        </w:tc>
        <w:tc>
          <w:tcPr>
            <w:tcW w:w="887"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18.2% (male)</w:t>
            </w:r>
          </w:p>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6.7% (female)</w:t>
            </w:r>
          </w:p>
        </w:tc>
        <w:tc>
          <w:tcPr>
            <w:tcW w:w="884"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14.3% (male)</w:t>
            </w:r>
          </w:p>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12.3% (female)</w:t>
            </w:r>
          </w:p>
        </w:tc>
      </w:tr>
      <w:tr w:rsidR="00D403D4" w:rsidRPr="00714943" w:rsidTr="00714943">
        <w:trPr>
          <w:jc w:val="center"/>
        </w:trPr>
        <w:tc>
          <w:tcPr>
            <w:tcW w:w="1105"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United States</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10.0%</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11.8 – 13.8%</w:t>
            </w:r>
          </w:p>
        </w:tc>
        <w:tc>
          <w:tcPr>
            <w:tcW w:w="887"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19.4% (male)</w:t>
            </w:r>
          </w:p>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16.7% (female)</w:t>
            </w:r>
          </w:p>
        </w:tc>
        <w:tc>
          <w:tcPr>
            <w:tcW w:w="884"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15.4% (male)</w:t>
            </w:r>
          </w:p>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12.9% (female)</w:t>
            </w:r>
          </w:p>
        </w:tc>
      </w:tr>
      <w:tr w:rsidR="00D403D4" w:rsidRPr="00714943" w:rsidTr="00714943">
        <w:trPr>
          <w:jc w:val="center"/>
        </w:trPr>
        <w:tc>
          <w:tcPr>
            <w:tcW w:w="1105" w:type="pct"/>
            <w:shd w:val="clear" w:color="auto" w:fill="auto"/>
          </w:tcPr>
          <w:p w:rsidR="00E76F8B" w:rsidRPr="00714943" w:rsidRDefault="00E76F8B" w:rsidP="00714943">
            <w:pPr>
              <w:spacing w:after="0" w:line="360" w:lineRule="auto"/>
              <w:jc w:val="both"/>
              <w:rPr>
                <w:rFonts w:ascii="Times New Roman" w:hAnsi="Times New Roman"/>
                <w:sz w:val="20"/>
                <w:szCs w:val="20"/>
              </w:rPr>
            </w:pPr>
            <w:r w:rsidRPr="00714943">
              <w:rPr>
                <w:rFonts w:ascii="Times New Roman" w:hAnsi="Times New Roman"/>
                <w:sz w:val="20"/>
                <w:szCs w:val="20"/>
              </w:rPr>
              <w:t>Australia</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8.0%</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9.8 – 14.1%</w:t>
            </w:r>
          </w:p>
        </w:tc>
        <w:tc>
          <w:tcPr>
            <w:tcW w:w="887"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19.9%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12.7% (female)</w:t>
            </w:r>
          </w:p>
        </w:tc>
        <w:tc>
          <w:tcPr>
            <w:tcW w:w="884"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9.0% (male)</w:t>
            </w:r>
          </w:p>
          <w:p w:rsidR="00BC0CF4"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8.9% (female)</w:t>
            </w:r>
          </w:p>
        </w:tc>
      </w:tr>
      <w:tr w:rsidR="00D403D4" w:rsidRPr="00714943" w:rsidTr="00714943">
        <w:trPr>
          <w:jc w:val="center"/>
        </w:trPr>
        <w:tc>
          <w:tcPr>
            <w:tcW w:w="1105"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France</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10.0%</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8.0 – 9.2%</w:t>
            </w:r>
          </w:p>
        </w:tc>
        <w:tc>
          <w:tcPr>
            <w:tcW w:w="887"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10.6%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8.1% (female)</w:t>
            </w:r>
          </w:p>
        </w:tc>
        <w:tc>
          <w:tcPr>
            <w:tcW w:w="884"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11.4%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10.9% (female)</w:t>
            </w:r>
          </w:p>
        </w:tc>
      </w:tr>
      <w:tr w:rsidR="00D403D4" w:rsidRPr="00714943" w:rsidTr="00714943">
        <w:trPr>
          <w:jc w:val="center"/>
        </w:trPr>
        <w:tc>
          <w:tcPr>
            <w:tcW w:w="1105"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Germany</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7.7%</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11.0 – 15.2%</w:t>
            </w:r>
          </w:p>
        </w:tc>
        <w:tc>
          <w:tcPr>
            <w:tcW w:w="887"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7.5%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6.4% (female)</w:t>
            </w:r>
          </w:p>
        </w:tc>
        <w:tc>
          <w:tcPr>
            <w:tcW w:w="884"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13.4%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8.5% (female)</w:t>
            </w:r>
          </w:p>
        </w:tc>
      </w:tr>
      <w:tr w:rsidR="00D403D4" w:rsidRPr="00714943" w:rsidTr="00714943">
        <w:trPr>
          <w:jc w:val="center"/>
        </w:trPr>
        <w:tc>
          <w:tcPr>
            <w:tcW w:w="1105"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Hungary</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4.3%</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11.9 – 14.7%</w:t>
            </w:r>
          </w:p>
        </w:tc>
        <w:tc>
          <w:tcPr>
            <w:tcW w:w="887"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19.3%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15.8% (female)</w:t>
            </w:r>
          </w:p>
        </w:tc>
        <w:tc>
          <w:tcPr>
            <w:tcW w:w="884" w:type="pct"/>
            <w:shd w:val="clear" w:color="auto" w:fill="auto"/>
          </w:tcPr>
          <w:p w:rsidR="00E76F8B"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28.5%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24.6% (female)</w:t>
            </w:r>
          </w:p>
        </w:tc>
      </w:tr>
      <w:tr w:rsidR="00D403D4" w:rsidRPr="00714943" w:rsidTr="00714943">
        <w:trPr>
          <w:jc w:val="center"/>
        </w:trPr>
        <w:tc>
          <w:tcPr>
            <w:tcW w:w="1105"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Italy</w:t>
            </w:r>
          </w:p>
        </w:tc>
        <w:tc>
          <w:tcPr>
            <w:tcW w:w="116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2.7%</w:t>
            </w:r>
          </w:p>
        </w:tc>
        <w:tc>
          <w:tcPr>
            <w:tcW w:w="957" w:type="pct"/>
            <w:shd w:val="clear" w:color="auto" w:fill="auto"/>
          </w:tcPr>
          <w:p w:rsidR="00E76F8B"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6.4 – 7.0%</w:t>
            </w:r>
          </w:p>
        </w:tc>
        <w:tc>
          <w:tcPr>
            <w:tcW w:w="887" w:type="pct"/>
            <w:shd w:val="clear" w:color="auto" w:fill="auto"/>
          </w:tcPr>
          <w:p w:rsidR="00E76F8B"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8.1%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8.4% (female)</w:t>
            </w:r>
          </w:p>
        </w:tc>
        <w:tc>
          <w:tcPr>
            <w:tcW w:w="884" w:type="pct"/>
            <w:shd w:val="clear" w:color="auto" w:fill="auto"/>
          </w:tcPr>
          <w:p w:rsidR="00E76F8B"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8.1%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6.9% (female)</w:t>
            </w:r>
          </w:p>
        </w:tc>
      </w:tr>
      <w:tr w:rsidR="00D403D4" w:rsidRPr="00714943" w:rsidTr="00714943">
        <w:trPr>
          <w:jc w:val="center"/>
        </w:trPr>
        <w:tc>
          <w:tcPr>
            <w:tcW w:w="1105"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Sweden</w:t>
            </w:r>
          </w:p>
        </w:tc>
        <w:tc>
          <w:tcPr>
            <w:tcW w:w="116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5.0%</w:t>
            </w:r>
          </w:p>
        </w:tc>
        <w:tc>
          <w:tcPr>
            <w:tcW w:w="95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4.4 – 5.7%</w:t>
            </w:r>
          </w:p>
        </w:tc>
        <w:tc>
          <w:tcPr>
            <w:tcW w:w="887" w:type="pct"/>
            <w:shd w:val="clear" w:color="auto" w:fill="auto"/>
          </w:tcPr>
          <w:p w:rsidR="00731B15"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16.5%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11.5% (female)</w:t>
            </w:r>
          </w:p>
        </w:tc>
        <w:tc>
          <w:tcPr>
            <w:tcW w:w="884" w:type="pct"/>
            <w:shd w:val="clear" w:color="auto" w:fill="auto"/>
          </w:tcPr>
          <w:p w:rsidR="00731B15"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7.4%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7.1% (female)</w:t>
            </w:r>
          </w:p>
        </w:tc>
      </w:tr>
      <w:tr w:rsidR="00D403D4" w:rsidRPr="00714943" w:rsidTr="00714943">
        <w:trPr>
          <w:jc w:val="center"/>
        </w:trPr>
        <w:tc>
          <w:tcPr>
            <w:tcW w:w="1105"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Japan</w:t>
            </w:r>
          </w:p>
        </w:tc>
        <w:tc>
          <w:tcPr>
            <w:tcW w:w="116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13.2%</w:t>
            </w:r>
          </w:p>
        </w:tc>
        <w:tc>
          <w:tcPr>
            <w:tcW w:w="95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9.9 – 14.0%</w:t>
            </w:r>
          </w:p>
        </w:tc>
        <w:tc>
          <w:tcPr>
            <w:tcW w:w="887" w:type="pct"/>
            <w:shd w:val="clear" w:color="auto" w:fill="auto"/>
          </w:tcPr>
          <w:p w:rsidR="00731B15"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p w:rsidR="00BC0CF4" w:rsidRPr="00714943" w:rsidRDefault="00BC0CF4" w:rsidP="00714943">
            <w:pPr>
              <w:spacing w:after="0" w:line="360" w:lineRule="auto"/>
              <w:jc w:val="both"/>
              <w:rPr>
                <w:rFonts w:ascii="Times New Roman" w:hAnsi="Times New Roman"/>
                <w:sz w:val="20"/>
                <w:szCs w:val="20"/>
              </w:rPr>
            </w:pPr>
          </w:p>
        </w:tc>
        <w:tc>
          <w:tcPr>
            <w:tcW w:w="884" w:type="pct"/>
            <w:shd w:val="clear" w:color="auto" w:fill="auto"/>
          </w:tcPr>
          <w:p w:rsidR="00731B15"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7.4%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7.8% (female)</w:t>
            </w:r>
          </w:p>
        </w:tc>
      </w:tr>
      <w:tr w:rsidR="00D403D4" w:rsidRPr="00714943" w:rsidTr="00714943">
        <w:trPr>
          <w:jc w:val="center"/>
        </w:trPr>
        <w:tc>
          <w:tcPr>
            <w:tcW w:w="1105"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South Korea</w:t>
            </w:r>
          </w:p>
        </w:tc>
        <w:tc>
          <w:tcPr>
            <w:tcW w:w="116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13.5%</w:t>
            </w:r>
          </w:p>
        </w:tc>
        <w:tc>
          <w:tcPr>
            <w:tcW w:w="957" w:type="pct"/>
            <w:shd w:val="clear" w:color="auto" w:fill="auto"/>
          </w:tcPr>
          <w:p w:rsidR="00731B15" w:rsidRPr="00714943" w:rsidRDefault="00731B15" w:rsidP="00714943">
            <w:pPr>
              <w:spacing w:after="0" w:line="360" w:lineRule="auto"/>
              <w:jc w:val="both"/>
              <w:rPr>
                <w:rFonts w:ascii="Times New Roman" w:hAnsi="Times New Roman"/>
                <w:sz w:val="20"/>
                <w:szCs w:val="20"/>
              </w:rPr>
            </w:pPr>
            <w:r w:rsidRPr="00714943">
              <w:rPr>
                <w:rFonts w:ascii="Times New Roman" w:hAnsi="Times New Roman"/>
                <w:sz w:val="20"/>
                <w:szCs w:val="20"/>
              </w:rPr>
              <w:t>13.2%</w:t>
            </w:r>
          </w:p>
        </w:tc>
        <w:tc>
          <w:tcPr>
            <w:tcW w:w="887" w:type="pct"/>
            <w:shd w:val="clear" w:color="auto" w:fill="auto"/>
          </w:tcPr>
          <w:p w:rsidR="00731B15"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13.1% (male)</w:t>
            </w:r>
          </w:p>
          <w:p w:rsidR="00BC0CF4" w:rsidRPr="00714943" w:rsidRDefault="00BC0CF4" w:rsidP="00714943">
            <w:pPr>
              <w:spacing w:after="0" w:line="360" w:lineRule="auto"/>
              <w:jc w:val="both"/>
              <w:rPr>
                <w:rFonts w:ascii="Times New Roman" w:hAnsi="Times New Roman"/>
                <w:sz w:val="20"/>
                <w:szCs w:val="20"/>
              </w:rPr>
            </w:pPr>
            <w:r w:rsidRPr="00714943">
              <w:rPr>
                <w:rFonts w:ascii="Times New Roman" w:hAnsi="Times New Roman"/>
                <w:sz w:val="20"/>
                <w:szCs w:val="20"/>
              </w:rPr>
              <w:t>11.3% (female)</w:t>
            </w:r>
          </w:p>
        </w:tc>
        <w:tc>
          <w:tcPr>
            <w:tcW w:w="884" w:type="pct"/>
            <w:shd w:val="clear" w:color="auto" w:fill="auto"/>
          </w:tcPr>
          <w:p w:rsidR="00731B15"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12.8% (male)</w:t>
            </w:r>
          </w:p>
          <w:p w:rsidR="001F326A" w:rsidRPr="00714943" w:rsidRDefault="001F326A" w:rsidP="00714943">
            <w:pPr>
              <w:spacing w:after="0" w:line="360" w:lineRule="auto"/>
              <w:jc w:val="both"/>
              <w:rPr>
                <w:rFonts w:ascii="Times New Roman" w:hAnsi="Times New Roman"/>
                <w:sz w:val="20"/>
                <w:szCs w:val="20"/>
              </w:rPr>
            </w:pPr>
            <w:r w:rsidRPr="00714943">
              <w:rPr>
                <w:rFonts w:ascii="Times New Roman" w:hAnsi="Times New Roman"/>
                <w:sz w:val="20"/>
                <w:szCs w:val="20"/>
              </w:rPr>
              <w:t>11.0% (female)</w:t>
            </w:r>
          </w:p>
        </w:tc>
      </w:tr>
    </w:tbl>
    <w:p w:rsidR="00F86ED8" w:rsidRDefault="00F86ED8" w:rsidP="00940760">
      <w:pPr>
        <w:spacing w:line="360" w:lineRule="auto"/>
        <w:jc w:val="both"/>
        <w:rPr>
          <w:rFonts w:ascii="Times New Roman" w:hAnsi="Times New Roman"/>
          <w:sz w:val="24"/>
          <w:szCs w:val="24"/>
        </w:rPr>
      </w:pPr>
    </w:p>
    <w:p w:rsidR="007E67B2" w:rsidRDefault="00790944" w:rsidP="00790944">
      <w:pPr>
        <w:spacing w:line="360" w:lineRule="auto"/>
        <w:jc w:val="both"/>
        <w:rPr>
          <w:rFonts w:ascii="Times New Roman" w:hAnsi="Times New Roman"/>
          <w:sz w:val="24"/>
          <w:szCs w:val="24"/>
        </w:rPr>
      </w:pPr>
      <w:r>
        <w:rPr>
          <w:rFonts w:ascii="Times New Roman" w:hAnsi="Times New Roman"/>
          <w:sz w:val="24"/>
          <w:szCs w:val="24"/>
        </w:rPr>
        <w:lastRenderedPageBreak/>
        <w:t>A few general points can be made from scanning this table. Firstly, there is significant variation in wage premia to years of education between developed countries and in some instances, within a country over time.</w:t>
      </w:r>
      <w:r w:rsidR="00C50CB2">
        <w:rPr>
          <w:rFonts w:ascii="Times New Roman" w:hAnsi="Times New Roman"/>
          <w:sz w:val="24"/>
          <w:szCs w:val="24"/>
        </w:rPr>
        <w:t xml:space="preserve"> Secondly, there is no clear pattern between wage premia estimates and full internal rate of return calculations – Sweden, for example, has consistently low wage premia relative to all the other countries included, yet when the full costs, taxation system and employment prospects are factored in has far higher estimated returns than the Mincerian approach would otherwise suggest. In Germany, the relationship is the other way around – there is a high wage premium from Mincerian estimates but lower rates of return. Secondly, patterns in the difference of returns experienced by men and women vary across countries. In general, the estimates point to lower returns to women than men, but there are some exceptions to this. The size of the gap also varies quite a lot, often only for one level of education – for example, secondary education but not tertiary education in Australia.</w:t>
      </w:r>
      <w:r w:rsidR="008609DC">
        <w:rPr>
          <w:rFonts w:ascii="Times New Roman" w:hAnsi="Times New Roman"/>
          <w:sz w:val="24"/>
          <w:szCs w:val="24"/>
        </w:rPr>
        <w:t xml:space="preserve"> Thirdly, there is a lot of variation in estimated returns at different levels – while in general it would seem that secondary education is associated with higher returns than tertiary education for both men and women, this is not true in Germany, France or Italy.</w:t>
      </w:r>
      <w:r w:rsidR="00C62A42">
        <w:rPr>
          <w:rFonts w:ascii="Times New Roman" w:hAnsi="Times New Roman"/>
          <w:sz w:val="24"/>
          <w:szCs w:val="24"/>
        </w:rPr>
        <w:t xml:space="preserve"> This variation in estimated return</w:t>
      </w:r>
      <w:r w:rsidR="00313E2F">
        <w:rPr>
          <w:rFonts w:ascii="Times New Roman" w:hAnsi="Times New Roman"/>
          <w:sz w:val="24"/>
          <w:szCs w:val="24"/>
        </w:rPr>
        <w:t xml:space="preserve">s </w:t>
      </w:r>
      <w:r w:rsidR="00C62A42">
        <w:rPr>
          <w:rFonts w:ascii="Times New Roman" w:hAnsi="Times New Roman"/>
          <w:sz w:val="24"/>
          <w:szCs w:val="24"/>
        </w:rPr>
        <w:t xml:space="preserve">exists within countries as well. Table 3.2 </w:t>
      </w:r>
      <w:r w:rsidR="007E67B2">
        <w:rPr>
          <w:rFonts w:ascii="Times New Roman" w:hAnsi="Times New Roman"/>
          <w:sz w:val="24"/>
          <w:szCs w:val="24"/>
        </w:rPr>
        <w:t xml:space="preserve">shows just for the case of the UK how widely estimated returns </w:t>
      </w:r>
      <w:r w:rsidR="00333F8C">
        <w:rPr>
          <w:rFonts w:ascii="Times New Roman" w:hAnsi="Times New Roman"/>
          <w:sz w:val="24"/>
          <w:szCs w:val="24"/>
        </w:rPr>
        <w:t xml:space="preserve">to higher education </w:t>
      </w:r>
      <w:r w:rsidR="00EC0F71">
        <w:rPr>
          <w:rFonts w:ascii="Times New Roman" w:hAnsi="Times New Roman"/>
          <w:sz w:val="24"/>
          <w:szCs w:val="24"/>
        </w:rPr>
        <w:t xml:space="preserve">(compared to an individual with 2 or more A-Levels or their equivalent) </w:t>
      </w:r>
      <w:r w:rsidR="00333F8C">
        <w:rPr>
          <w:rFonts w:ascii="Times New Roman" w:hAnsi="Times New Roman"/>
          <w:sz w:val="24"/>
          <w:szCs w:val="24"/>
        </w:rPr>
        <w:t>have varied, due to differences in time period, data set and methodology.</w:t>
      </w:r>
    </w:p>
    <w:p w:rsidR="0023083E" w:rsidRDefault="0023083E" w:rsidP="0023083E">
      <w:pPr>
        <w:spacing w:line="360" w:lineRule="auto"/>
        <w:jc w:val="both"/>
        <w:rPr>
          <w:rFonts w:ascii="Times New Roman" w:hAnsi="Times New Roman"/>
          <w:sz w:val="24"/>
          <w:szCs w:val="24"/>
        </w:rPr>
      </w:pPr>
      <w:r>
        <w:rPr>
          <w:rFonts w:ascii="Times New Roman" w:hAnsi="Times New Roman"/>
          <w:sz w:val="24"/>
          <w:szCs w:val="24"/>
        </w:rPr>
        <w:t xml:space="preserve">The World Bank studies can help put the experience of these select developed countries in the global context. Looking at the OECD specifically, the estimated wage premium is 7.5%, which is predictably lower than places with lower educational attainment, such as Latin America (12.0%), Asia (9.9%) and Sub-Saharan Africa (11.7%). </w:t>
      </w:r>
    </w:p>
    <w:p w:rsidR="0023083E" w:rsidRDefault="0023083E" w:rsidP="0023083E">
      <w:pPr>
        <w:spacing w:line="360" w:lineRule="auto"/>
        <w:jc w:val="both"/>
        <w:rPr>
          <w:rFonts w:ascii="Times New Roman" w:hAnsi="Times New Roman"/>
          <w:sz w:val="24"/>
          <w:szCs w:val="24"/>
        </w:rPr>
      </w:pPr>
      <w:r>
        <w:rPr>
          <w:rFonts w:ascii="Times New Roman" w:hAnsi="Times New Roman"/>
          <w:sz w:val="24"/>
          <w:szCs w:val="24"/>
        </w:rPr>
        <w:t>Looking at different levels of education, Montenegro and Patrinos find average global wage premia of 10.6, 7.2 and 15.2% for primary, secondary and tertiary education respectively, although these returns tend to be lower where participation is higher . For example, in the OECD the</w:t>
      </w:r>
      <w:r w:rsidRPr="006303C9">
        <w:rPr>
          <w:rFonts w:ascii="Times New Roman" w:hAnsi="Times New Roman"/>
          <w:sz w:val="24"/>
          <w:szCs w:val="24"/>
        </w:rPr>
        <w:t xml:space="preserve"> </w:t>
      </w:r>
      <w:r>
        <w:rPr>
          <w:rFonts w:ascii="Times New Roman" w:hAnsi="Times New Roman"/>
          <w:sz w:val="24"/>
          <w:szCs w:val="24"/>
        </w:rPr>
        <w:t>average returns to primary education are 4.9%, whereas in South Asia and Latin America, , average returns are 6.0 and 7.8% respectively. They also find that wage premia are, in almost all cases, larger for women than for men. As shown in Table 3.1, internal rates of return tend to show the opposite. This again highlights how estimates of the return to education and training can look different based on the choice of methodology – in the case of women and men, there are differences in the pattern of lifecycle earnings, periods of time out of the labour market and retirement which can all be accounted for in a full internal rate of return calculation, but for which the Mincerian approach may be too restrictive.</w:t>
      </w:r>
    </w:p>
    <w:p w:rsidR="007E67B2" w:rsidRPr="007E67B2" w:rsidRDefault="007E67B2" w:rsidP="00790944">
      <w:pPr>
        <w:spacing w:line="360" w:lineRule="auto"/>
        <w:jc w:val="both"/>
        <w:rPr>
          <w:rFonts w:ascii="Times New Roman" w:hAnsi="Times New Roman"/>
          <w:i/>
          <w:sz w:val="24"/>
          <w:szCs w:val="24"/>
        </w:rPr>
      </w:pPr>
      <w:r w:rsidRPr="007E67B2">
        <w:rPr>
          <w:rFonts w:ascii="Times New Roman" w:hAnsi="Times New Roman"/>
          <w:i/>
          <w:sz w:val="24"/>
          <w:szCs w:val="24"/>
        </w:rPr>
        <w:lastRenderedPageBreak/>
        <w:t>Table 3.2: Wage premia and rates of return to higher education in the UK</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55"/>
        <w:gridCol w:w="2110"/>
        <w:gridCol w:w="1639"/>
        <w:gridCol w:w="1904"/>
      </w:tblGrid>
      <w:tr w:rsidR="00D403D4" w:rsidRPr="00714943" w:rsidTr="00714943">
        <w:tc>
          <w:tcPr>
            <w:tcW w:w="1955" w:type="dxa"/>
            <w:shd w:val="clear" w:color="auto" w:fill="auto"/>
            <w:vAlign w:val="center"/>
          </w:tcPr>
          <w:p w:rsidR="00875004" w:rsidRPr="00714943" w:rsidRDefault="00875004" w:rsidP="00714943">
            <w:pPr>
              <w:spacing w:after="0" w:line="360" w:lineRule="auto"/>
              <w:jc w:val="center"/>
              <w:rPr>
                <w:rFonts w:ascii="Times New Roman" w:hAnsi="Times New Roman"/>
                <w:sz w:val="20"/>
                <w:szCs w:val="20"/>
              </w:rPr>
            </w:pPr>
            <w:r w:rsidRPr="00714943">
              <w:rPr>
                <w:rFonts w:ascii="Times New Roman" w:hAnsi="Times New Roman"/>
                <w:sz w:val="20"/>
                <w:szCs w:val="20"/>
              </w:rPr>
              <w:t>Study</w:t>
            </w:r>
          </w:p>
        </w:tc>
        <w:tc>
          <w:tcPr>
            <w:tcW w:w="1855" w:type="dxa"/>
            <w:shd w:val="clear" w:color="auto" w:fill="auto"/>
            <w:vAlign w:val="center"/>
          </w:tcPr>
          <w:p w:rsidR="00875004" w:rsidRPr="00714943" w:rsidRDefault="00AC1040" w:rsidP="00714943">
            <w:pPr>
              <w:spacing w:after="0" w:line="360" w:lineRule="auto"/>
              <w:jc w:val="center"/>
              <w:rPr>
                <w:rFonts w:ascii="Times New Roman" w:hAnsi="Times New Roman"/>
                <w:sz w:val="20"/>
                <w:szCs w:val="20"/>
              </w:rPr>
            </w:pPr>
            <w:r w:rsidRPr="00714943">
              <w:rPr>
                <w:rFonts w:ascii="Times New Roman" w:hAnsi="Times New Roman"/>
                <w:sz w:val="20"/>
                <w:szCs w:val="20"/>
              </w:rPr>
              <w:t>Earnings d</w:t>
            </w:r>
            <w:r w:rsidR="00875004" w:rsidRPr="00714943">
              <w:rPr>
                <w:rFonts w:ascii="Times New Roman" w:hAnsi="Times New Roman"/>
                <w:sz w:val="20"/>
                <w:szCs w:val="20"/>
              </w:rPr>
              <w:t>ata</w:t>
            </w:r>
          </w:p>
        </w:tc>
        <w:tc>
          <w:tcPr>
            <w:tcW w:w="2110" w:type="dxa"/>
            <w:shd w:val="clear" w:color="auto" w:fill="auto"/>
            <w:vAlign w:val="center"/>
          </w:tcPr>
          <w:p w:rsidR="00875004" w:rsidRPr="00714943" w:rsidRDefault="00875004" w:rsidP="00714943">
            <w:pPr>
              <w:spacing w:after="0" w:line="360" w:lineRule="auto"/>
              <w:jc w:val="center"/>
              <w:rPr>
                <w:rFonts w:ascii="Times New Roman" w:hAnsi="Times New Roman"/>
                <w:sz w:val="20"/>
                <w:szCs w:val="20"/>
              </w:rPr>
            </w:pPr>
            <w:r w:rsidRPr="00714943">
              <w:rPr>
                <w:rFonts w:ascii="Times New Roman" w:hAnsi="Times New Roman"/>
                <w:sz w:val="20"/>
                <w:szCs w:val="20"/>
              </w:rPr>
              <w:t>Wage premium</w:t>
            </w:r>
          </w:p>
        </w:tc>
        <w:tc>
          <w:tcPr>
            <w:tcW w:w="1639" w:type="dxa"/>
            <w:shd w:val="clear" w:color="auto" w:fill="auto"/>
            <w:vAlign w:val="center"/>
          </w:tcPr>
          <w:p w:rsidR="00875004" w:rsidRPr="00714943" w:rsidRDefault="00875004" w:rsidP="00714943">
            <w:pPr>
              <w:spacing w:after="0" w:line="360" w:lineRule="auto"/>
              <w:jc w:val="center"/>
              <w:rPr>
                <w:rFonts w:ascii="Times New Roman" w:hAnsi="Times New Roman"/>
                <w:sz w:val="20"/>
                <w:szCs w:val="20"/>
              </w:rPr>
            </w:pPr>
            <w:r w:rsidRPr="00714943">
              <w:rPr>
                <w:rFonts w:ascii="Times New Roman" w:hAnsi="Times New Roman"/>
                <w:sz w:val="20"/>
                <w:szCs w:val="20"/>
              </w:rPr>
              <w:t>IRR (if given)</w:t>
            </w:r>
          </w:p>
        </w:tc>
        <w:tc>
          <w:tcPr>
            <w:tcW w:w="1904" w:type="dxa"/>
            <w:shd w:val="clear" w:color="auto" w:fill="auto"/>
          </w:tcPr>
          <w:p w:rsidR="00875004" w:rsidRPr="00714943" w:rsidRDefault="00875004" w:rsidP="00714943">
            <w:pPr>
              <w:spacing w:after="0" w:line="360" w:lineRule="auto"/>
              <w:jc w:val="center"/>
              <w:rPr>
                <w:rFonts w:ascii="Times New Roman" w:hAnsi="Times New Roman"/>
                <w:sz w:val="20"/>
                <w:szCs w:val="20"/>
              </w:rPr>
            </w:pPr>
            <w:r w:rsidRPr="00714943">
              <w:rPr>
                <w:rFonts w:ascii="Times New Roman" w:hAnsi="Times New Roman"/>
                <w:sz w:val="20"/>
                <w:szCs w:val="20"/>
              </w:rPr>
              <w:t>NPV</w:t>
            </w:r>
            <w:r w:rsidR="00DC6384" w:rsidRPr="00714943">
              <w:rPr>
                <w:rFonts w:ascii="Times New Roman" w:hAnsi="Times New Roman"/>
                <w:sz w:val="20"/>
                <w:szCs w:val="20"/>
              </w:rPr>
              <w:t xml:space="preserve"> (£1000s)</w:t>
            </w:r>
          </w:p>
        </w:tc>
      </w:tr>
      <w:tr w:rsidR="00D403D4" w:rsidRPr="00714943" w:rsidTr="00714943">
        <w:tc>
          <w:tcPr>
            <w:tcW w:w="1955" w:type="dxa"/>
            <w:shd w:val="clear" w:color="auto" w:fill="auto"/>
          </w:tcPr>
          <w:p w:rsidR="00903270" w:rsidRPr="00714943" w:rsidRDefault="00201010" w:rsidP="00714943">
            <w:pPr>
              <w:spacing w:after="0" w:line="360" w:lineRule="auto"/>
              <w:jc w:val="both"/>
              <w:rPr>
                <w:rFonts w:ascii="Times New Roman" w:hAnsi="Times New Roman"/>
                <w:sz w:val="20"/>
                <w:szCs w:val="20"/>
              </w:rPr>
            </w:pPr>
            <w:r w:rsidRPr="00714943">
              <w:rPr>
                <w:rFonts w:ascii="Times New Roman" w:hAnsi="Times New Roman"/>
                <w:sz w:val="20"/>
                <w:szCs w:val="20"/>
              </w:rPr>
              <w:t>Harkness and Machin</w:t>
            </w:r>
            <w:r w:rsidR="00903270" w:rsidRPr="00714943">
              <w:rPr>
                <w:rFonts w:ascii="Times New Roman" w:hAnsi="Times New Roman"/>
                <w:sz w:val="20"/>
                <w:szCs w:val="20"/>
              </w:rPr>
              <w:t xml:space="preserve"> (1999)</w:t>
            </w:r>
          </w:p>
        </w:tc>
        <w:tc>
          <w:tcPr>
            <w:tcW w:w="1855" w:type="dxa"/>
            <w:shd w:val="clear" w:color="auto" w:fill="auto"/>
          </w:tcPr>
          <w:p w:rsidR="00903270" w:rsidRPr="00714943" w:rsidRDefault="00201010" w:rsidP="00714943">
            <w:pPr>
              <w:spacing w:after="0" w:line="360" w:lineRule="auto"/>
              <w:jc w:val="both"/>
              <w:rPr>
                <w:rFonts w:ascii="Times New Roman" w:hAnsi="Times New Roman"/>
                <w:sz w:val="20"/>
                <w:szCs w:val="20"/>
              </w:rPr>
            </w:pPr>
            <w:r w:rsidRPr="00714943">
              <w:rPr>
                <w:rFonts w:ascii="Times New Roman" w:hAnsi="Times New Roman"/>
                <w:sz w:val="20"/>
                <w:szCs w:val="20"/>
              </w:rPr>
              <w:t>General Household Survey, 1974-1995</w:t>
            </w:r>
          </w:p>
        </w:tc>
        <w:tc>
          <w:tcPr>
            <w:tcW w:w="2110" w:type="dxa"/>
            <w:shd w:val="clear" w:color="auto" w:fill="auto"/>
          </w:tcPr>
          <w:p w:rsidR="00903270" w:rsidRPr="00714943" w:rsidRDefault="00201010" w:rsidP="00714943">
            <w:pPr>
              <w:spacing w:after="0" w:line="360" w:lineRule="auto"/>
              <w:jc w:val="both"/>
              <w:rPr>
                <w:rFonts w:ascii="Times New Roman" w:hAnsi="Times New Roman"/>
                <w:sz w:val="20"/>
                <w:szCs w:val="20"/>
              </w:rPr>
            </w:pPr>
            <w:r w:rsidRPr="00714943">
              <w:rPr>
                <w:rFonts w:ascii="Times New Roman" w:hAnsi="Times New Roman"/>
                <w:sz w:val="20"/>
                <w:szCs w:val="20"/>
              </w:rPr>
              <w:t>14.2 – 23.0% (male)</w:t>
            </w:r>
          </w:p>
          <w:p w:rsidR="00201010" w:rsidRPr="00714943" w:rsidRDefault="00201010" w:rsidP="00714943">
            <w:pPr>
              <w:spacing w:after="0" w:line="360" w:lineRule="auto"/>
              <w:jc w:val="both"/>
              <w:rPr>
                <w:rFonts w:ascii="Times New Roman" w:hAnsi="Times New Roman"/>
                <w:sz w:val="20"/>
                <w:szCs w:val="20"/>
              </w:rPr>
            </w:pPr>
            <w:r w:rsidRPr="00714943">
              <w:rPr>
                <w:rFonts w:ascii="Times New Roman" w:hAnsi="Times New Roman"/>
                <w:sz w:val="20"/>
                <w:szCs w:val="20"/>
              </w:rPr>
              <w:t>20.5 – 26.7% (female)</w:t>
            </w:r>
          </w:p>
        </w:tc>
        <w:tc>
          <w:tcPr>
            <w:tcW w:w="1639" w:type="dxa"/>
            <w:shd w:val="clear" w:color="auto" w:fill="auto"/>
          </w:tcPr>
          <w:p w:rsidR="00903270" w:rsidRPr="00714943" w:rsidRDefault="00903270" w:rsidP="00714943">
            <w:pPr>
              <w:spacing w:after="0" w:line="360" w:lineRule="auto"/>
              <w:jc w:val="both"/>
              <w:rPr>
                <w:rFonts w:ascii="Times New Roman" w:hAnsi="Times New Roman"/>
                <w:sz w:val="20"/>
                <w:szCs w:val="20"/>
              </w:rPr>
            </w:pPr>
          </w:p>
        </w:tc>
        <w:tc>
          <w:tcPr>
            <w:tcW w:w="1904" w:type="dxa"/>
            <w:shd w:val="clear" w:color="auto" w:fill="auto"/>
          </w:tcPr>
          <w:p w:rsidR="00903270" w:rsidRPr="00714943" w:rsidRDefault="00903270" w:rsidP="00714943">
            <w:pPr>
              <w:spacing w:after="0" w:line="360" w:lineRule="auto"/>
              <w:jc w:val="both"/>
              <w:rPr>
                <w:rFonts w:ascii="Times New Roman" w:hAnsi="Times New Roman"/>
                <w:sz w:val="20"/>
                <w:szCs w:val="20"/>
              </w:rPr>
            </w:pPr>
          </w:p>
        </w:tc>
      </w:tr>
      <w:tr w:rsidR="00D403D4" w:rsidRPr="00714943" w:rsidTr="00714943">
        <w:tc>
          <w:tcPr>
            <w:tcW w:w="1955" w:type="dxa"/>
            <w:shd w:val="clear" w:color="auto" w:fill="auto"/>
          </w:tcPr>
          <w:p w:rsidR="00875004" w:rsidRPr="00714943" w:rsidRDefault="00AC1040" w:rsidP="00714943">
            <w:pPr>
              <w:spacing w:after="0" w:line="360" w:lineRule="auto"/>
              <w:jc w:val="both"/>
              <w:rPr>
                <w:rFonts w:ascii="Times New Roman" w:hAnsi="Times New Roman"/>
                <w:sz w:val="20"/>
                <w:szCs w:val="20"/>
              </w:rPr>
            </w:pPr>
            <w:r w:rsidRPr="00714943">
              <w:rPr>
                <w:rFonts w:ascii="Times New Roman" w:hAnsi="Times New Roman"/>
                <w:sz w:val="20"/>
                <w:szCs w:val="20"/>
              </w:rPr>
              <w:t>Blundell et al (2000)</w:t>
            </w:r>
          </w:p>
        </w:tc>
        <w:tc>
          <w:tcPr>
            <w:tcW w:w="1855" w:type="dxa"/>
            <w:shd w:val="clear" w:color="auto" w:fill="auto"/>
          </w:tcPr>
          <w:p w:rsidR="00875004" w:rsidRPr="00714943" w:rsidRDefault="00AC1040" w:rsidP="00714943">
            <w:pPr>
              <w:spacing w:after="0" w:line="360" w:lineRule="auto"/>
              <w:jc w:val="both"/>
              <w:rPr>
                <w:rFonts w:ascii="Times New Roman" w:hAnsi="Times New Roman"/>
                <w:sz w:val="20"/>
                <w:szCs w:val="20"/>
              </w:rPr>
            </w:pPr>
            <w:r w:rsidRPr="00714943">
              <w:rPr>
                <w:rFonts w:ascii="Times New Roman" w:hAnsi="Times New Roman"/>
                <w:sz w:val="20"/>
                <w:szCs w:val="20"/>
              </w:rPr>
              <w:t>National Child Development Study, 1991</w:t>
            </w:r>
          </w:p>
        </w:tc>
        <w:tc>
          <w:tcPr>
            <w:tcW w:w="2110" w:type="dxa"/>
            <w:shd w:val="clear" w:color="auto" w:fill="auto"/>
          </w:tcPr>
          <w:p w:rsidR="00875004" w:rsidRPr="00714943" w:rsidRDefault="00AC1040" w:rsidP="00714943">
            <w:pPr>
              <w:spacing w:after="0" w:line="360" w:lineRule="auto"/>
              <w:jc w:val="both"/>
              <w:rPr>
                <w:rFonts w:ascii="Times New Roman" w:hAnsi="Times New Roman"/>
                <w:sz w:val="20"/>
                <w:szCs w:val="20"/>
              </w:rPr>
            </w:pPr>
            <w:r w:rsidRPr="00714943">
              <w:rPr>
                <w:rFonts w:ascii="Times New Roman" w:hAnsi="Times New Roman"/>
                <w:sz w:val="20"/>
                <w:szCs w:val="20"/>
              </w:rPr>
              <w:t>20.8% (male)</w:t>
            </w:r>
          </w:p>
          <w:p w:rsidR="00AC1040" w:rsidRPr="00714943" w:rsidRDefault="00AC1040" w:rsidP="00714943">
            <w:pPr>
              <w:spacing w:after="0" w:line="360" w:lineRule="auto"/>
              <w:jc w:val="both"/>
              <w:rPr>
                <w:rFonts w:ascii="Times New Roman" w:hAnsi="Times New Roman"/>
                <w:sz w:val="20"/>
                <w:szCs w:val="20"/>
              </w:rPr>
            </w:pPr>
            <w:r w:rsidRPr="00714943">
              <w:rPr>
                <w:rFonts w:ascii="Times New Roman" w:hAnsi="Times New Roman"/>
                <w:sz w:val="20"/>
                <w:szCs w:val="20"/>
              </w:rPr>
              <w:t>39.1% (female) †</w:t>
            </w:r>
          </w:p>
        </w:tc>
        <w:tc>
          <w:tcPr>
            <w:tcW w:w="1639" w:type="dxa"/>
            <w:shd w:val="clear" w:color="auto" w:fill="auto"/>
          </w:tcPr>
          <w:p w:rsidR="00875004" w:rsidRPr="00714943" w:rsidRDefault="00875004"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c>
          <w:tcPr>
            <w:tcW w:w="1904" w:type="dxa"/>
            <w:shd w:val="clear" w:color="auto" w:fill="auto"/>
          </w:tcPr>
          <w:p w:rsidR="00875004" w:rsidRPr="00714943" w:rsidRDefault="00D64C8E"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r>
      <w:tr w:rsidR="00D403D4" w:rsidRPr="00714943" w:rsidTr="00714943">
        <w:tc>
          <w:tcPr>
            <w:tcW w:w="19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O’Leary and Sloane (2005)</w:t>
            </w:r>
          </w:p>
        </w:tc>
        <w:tc>
          <w:tcPr>
            <w:tcW w:w="18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UK Labour Force Survey, 1994-2002</w:t>
            </w:r>
          </w:p>
        </w:tc>
        <w:tc>
          <w:tcPr>
            <w:tcW w:w="2110"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20.2%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35.5% (female)</w:t>
            </w:r>
          </w:p>
        </w:tc>
        <w:tc>
          <w:tcPr>
            <w:tcW w:w="1639"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c>
          <w:tcPr>
            <w:tcW w:w="1904"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r>
      <w:tr w:rsidR="00D403D4" w:rsidRPr="00714943" w:rsidTr="00714943">
        <w:tc>
          <w:tcPr>
            <w:tcW w:w="19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Bratti, et al (2008)</w:t>
            </w:r>
          </w:p>
        </w:tc>
        <w:tc>
          <w:tcPr>
            <w:tcW w:w="18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British Cohort Study, 2000</w:t>
            </w:r>
          </w:p>
        </w:tc>
        <w:tc>
          <w:tcPr>
            <w:tcW w:w="2110"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14.6%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17.8% (female) ††</w:t>
            </w:r>
          </w:p>
        </w:tc>
        <w:tc>
          <w:tcPr>
            <w:tcW w:w="1639"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c>
          <w:tcPr>
            <w:tcW w:w="1904"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r>
      <w:tr w:rsidR="00D403D4" w:rsidRPr="00714943" w:rsidTr="00714943">
        <w:tc>
          <w:tcPr>
            <w:tcW w:w="19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Walker and Zhu (2008)</w:t>
            </w:r>
          </w:p>
        </w:tc>
        <w:tc>
          <w:tcPr>
            <w:tcW w:w="18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UK Labour Force Survey, 1994-2006</w:t>
            </w:r>
          </w:p>
        </w:tc>
        <w:tc>
          <w:tcPr>
            <w:tcW w:w="2110"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18.2%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27.9% (female) †††</w:t>
            </w:r>
          </w:p>
        </w:tc>
        <w:tc>
          <w:tcPr>
            <w:tcW w:w="1639"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c>
          <w:tcPr>
            <w:tcW w:w="1904"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r>
      <w:tr w:rsidR="00D403D4" w:rsidRPr="00714943" w:rsidTr="00714943">
        <w:tc>
          <w:tcPr>
            <w:tcW w:w="19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Conlon and Patrignani (2011)</w:t>
            </w:r>
          </w:p>
        </w:tc>
        <w:tc>
          <w:tcPr>
            <w:tcW w:w="18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UK Labour Force Survey, 1996-2009</w:t>
            </w:r>
          </w:p>
        </w:tc>
        <w:tc>
          <w:tcPr>
            <w:tcW w:w="2110"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21.1%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26.2% (female)</w:t>
            </w:r>
          </w:p>
        </w:tc>
        <w:tc>
          <w:tcPr>
            <w:tcW w:w="1639"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15.6%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14.8% (female)</w:t>
            </w:r>
          </w:p>
        </w:tc>
        <w:tc>
          <w:tcPr>
            <w:tcW w:w="1904"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121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82 (female)</w:t>
            </w:r>
          </w:p>
        </w:tc>
      </w:tr>
      <w:tr w:rsidR="00D403D4" w:rsidRPr="00714943" w:rsidTr="00714943">
        <w:tc>
          <w:tcPr>
            <w:tcW w:w="19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Walker and Zhu (2013)</w:t>
            </w:r>
          </w:p>
        </w:tc>
        <w:tc>
          <w:tcPr>
            <w:tcW w:w="1855"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 xml:space="preserve">UK Labour Force Survey, 1993-2010 </w:t>
            </w:r>
          </w:p>
        </w:tc>
        <w:tc>
          <w:tcPr>
            <w:tcW w:w="2110"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20.5%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 xml:space="preserve">26.8% (female) </w:t>
            </w:r>
          </w:p>
        </w:tc>
        <w:tc>
          <w:tcPr>
            <w:tcW w:w="1639"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w:t>
            </w:r>
          </w:p>
        </w:tc>
        <w:tc>
          <w:tcPr>
            <w:tcW w:w="1904" w:type="dxa"/>
            <w:shd w:val="clear" w:color="auto" w:fill="auto"/>
          </w:tcPr>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168 (male)</w:t>
            </w:r>
          </w:p>
          <w:p w:rsidR="00313E2F" w:rsidRPr="00714943" w:rsidRDefault="00313E2F" w:rsidP="00714943">
            <w:pPr>
              <w:spacing w:after="0" w:line="360" w:lineRule="auto"/>
              <w:jc w:val="both"/>
              <w:rPr>
                <w:rFonts w:ascii="Times New Roman" w:hAnsi="Times New Roman"/>
                <w:sz w:val="20"/>
                <w:szCs w:val="20"/>
              </w:rPr>
            </w:pPr>
            <w:r w:rsidRPr="00714943">
              <w:rPr>
                <w:rFonts w:ascii="Times New Roman" w:hAnsi="Times New Roman"/>
                <w:sz w:val="20"/>
                <w:szCs w:val="20"/>
              </w:rPr>
              <w:t>252 (female)</w:t>
            </w:r>
          </w:p>
        </w:tc>
      </w:tr>
    </w:tbl>
    <w:p w:rsidR="00D64C8E" w:rsidRDefault="00E00398" w:rsidP="00790944">
      <w:pPr>
        <w:spacing w:line="360" w:lineRule="auto"/>
        <w:jc w:val="both"/>
        <w:rPr>
          <w:rFonts w:ascii="Times New Roman" w:hAnsi="Times New Roman"/>
          <w:sz w:val="20"/>
          <w:szCs w:val="20"/>
        </w:rPr>
      </w:pPr>
      <w:r w:rsidRPr="00E00398">
        <w:rPr>
          <w:rFonts w:ascii="Times New Roman" w:hAnsi="Times New Roman"/>
          <w:sz w:val="20"/>
          <w:szCs w:val="20"/>
        </w:rPr>
        <w:t>Notes:</w:t>
      </w:r>
      <w:r>
        <w:rPr>
          <w:rFonts w:ascii="Times New Roman" w:hAnsi="Times New Roman"/>
          <w:sz w:val="20"/>
          <w:szCs w:val="20"/>
        </w:rPr>
        <w:t xml:space="preserve"> </w:t>
      </w:r>
      <w:r w:rsidR="00D64C8E">
        <w:rPr>
          <w:rFonts w:ascii="Times New Roman" w:hAnsi="Times New Roman"/>
          <w:sz w:val="20"/>
          <w:szCs w:val="20"/>
        </w:rPr>
        <w:t xml:space="preserve">† - For comparability with the rest of the table, the raw estimate without ability, test score or family background controls are given. </w:t>
      </w:r>
      <w:r w:rsidR="00903270">
        <w:rPr>
          <w:rFonts w:ascii="Times New Roman" w:hAnsi="Times New Roman"/>
          <w:sz w:val="20"/>
          <w:szCs w:val="20"/>
        </w:rPr>
        <w:t xml:space="preserve">Controls reduce the male premium to 17.1 and 36.8% respectively </w:t>
      </w:r>
      <w:r w:rsidR="00D64C8E">
        <w:rPr>
          <w:rFonts w:ascii="Times New Roman" w:hAnsi="Times New Roman"/>
          <w:sz w:val="20"/>
          <w:szCs w:val="20"/>
        </w:rPr>
        <w:t>This is discussed further in section 5. †† - The authors only report the return controlling for ability</w:t>
      </w:r>
      <w:r w:rsidR="00903270">
        <w:rPr>
          <w:rFonts w:ascii="Times New Roman" w:hAnsi="Times New Roman"/>
          <w:sz w:val="20"/>
          <w:szCs w:val="20"/>
        </w:rPr>
        <w:t xml:space="preserve"> and family background, although they state that dropping ability measures has no effect on the premia.</w:t>
      </w:r>
      <w:r w:rsidR="00D64C8E">
        <w:rPr>
          <w:rFonts w:ascii="Times New Roman" w:hAnsi="Times New Roman"/>
          <w:sz w:val="20"/>
          <w:szCs w:val="20"/>
        </w:rPr>
        <w:t xml:space="preserve"> </w:t>
      </w:r>
      <w:r>
        <w:rPr>
          <w:rFonts w:ascii="Times New Roman" w:hAnsi="Times New Roman"/>
          <w:sz w:val="20"/>
          <w:szCs w:val="20"/>
        </w:rPr>
        <w:t>†</w:t>
      </w:r>
      <w:r w:rsidR="00D64C8E">
        <w:rPr>
          <w:rFonts w:ascii="Times New Roman" w:hAnsi="Times New Roman"/>
          <w:sz w:val="20"/>
          <w:szCs w:val="20"/>
        </w:rPr>
        <w:t>††</w:t>
      </w:r>
      <w:r>
        <w:rPr>
          <w:rFonts w:ascii="Times New Roman" w:hAnsi="Times New Roman"/>
          <w:sz w:val="20"/>
          <w:szCs w:val="20"/>
        </w:rPr>
        <w:t xml:space="preserve"> - Authors test for changes in the premium for pre- and post</w:t>
      </w:r>
      <w:r w:rsidR="00903270">
        <w:rPr>
          <w:rFonts w:ascii="Times New Roman" w:hAnsi="Times New Roman"/>
          <w:sz w:val="20"/>
          <w:szCs w:val="20"/>
        </w:rPr>
        <w:t>-</w:t>
      </w:r>
      <w:r>
        <w:rPr>
          <w:rFonts w:ascii="Times New Roman" w:hAnsi="Times New Roman"/>
          <w:sz w:val="20"/>
          <w:szCs w:val="20"/>
        </w:rPr>
        <w:t xml:space="preserve"> expansion cohorts and find </w:t>
      </w:r>
      <w:r w:rsidR="00875004">
        <w:rPr>
          <w:rFonts w:ascii="Times New Roman" w:hAnsi="Times New Roman"/>
          <w:sz w:val="20"/>
          <w:szCs w:val="20"/>
        </w:rPr>
        <w:t xml:space="preserve">zero change for men but a 4% increase in the wage premium for women. </w:t>
      </w:r>
    </w:p>
    <w:p w:rsidR="00793A4A" w:rsidRPr="00793A4A" w:rsidRDefault="00793A4A" w:rsidP="00940760">
      <w:pPr>
        <w:spacing w:line="360" w:lineRule="auto"/>
        <w:jc w:val="both"/>
        <w:rPr>
          <w:rFonts w:ascii="Times New Roman" w:hAnsi="Times New Roman"/>
          <w:b/>
          <w:sz w:val="24"/>
          <w:szCs w:val="24"/>
        </w:rPr>
      </w:pPr>
      <w:r w:rsidRPr="00793A4A">
        <w:rPr>
          <w:rFonts w:ascii="Times New Roman" w:hAnsi="Times New Roman"/>
          <w:b/>
          <w:sz w:val="24"/>
          <w:szCs w:val="24"/>
        </w:rPr>
        <w:t>Return to skills</w:t>
      </w:r>
    </w:p>
    <w:p w:rsidR="0007719E" w:rsidRDefault="00661DC3" w:rsidP="00940760">
      <w:pPr>
        <w:spacing w:line="360" w:lineRule="auto"/>
        <w:jc w:val="both"/>
        <w:rPr>
          <w:rFonts w:ascii="Times New Roman" w:hAnsi="Times New Roman"/>
          <w:sz w:val="24"/>
          <w:szCs w:val="24"/>
        </w:rPr>
      </w:pPr>
      <w:r>
        <w:rPr>
          <w:rFonts w:ascii="Times New Roman" w:hAnsi="Times New Roman"/>
          <w:sz w:val="24"/>
          <w:szCs w:val="24"/>
        </w:rPr>
        <w:t xml:space="preserve">One of the </w:t>
      </w:r>
      <w:r w:rsidR="002A45A4" w:rsidRPr="00793A4A">
        <w:rPr>
          <w:rFonts w:ascii="Times New Roman" w:hAnsi="Times New Roman"/>
          <w:sz w:val="24"/>
          <w:szCs w:val="24"/>
        </w:rPr>
        <w:t>problem</w:t>
      </w:r>
      <w:r>
        <w:rPr>
          <w:rFonts w:ascii="Times New Roman" w:hAnsi="Times New Roman"/>
          <w:sz w:val="24"/>
          <w:szCs w:val="24"/>
        </w:rPr>
        <w:t xml:space="preserve">s with most attempts to </w:t>
      </w:r>
      <w:r w:rsidR="00570A3C">
        <w:rPr>
          <w:rFonts w:ascii="Times New Roman" w:hAnsi="Times New Roman"/>
          <w:sz w:val="24"/>
          <w:szCs w:val="24"/>
        </w:rPr>
        <w:t>investigate the</w:t>
      </w:r>
      <w:r>
        <w:rPr>
          <w:rFonts w:ascii="Times New Roman" w:hAnsi="Times New Roman"/>
          <w:sz w:val="24"/>
          <w:szCs w:val="24"/>
        </w:rPr>
        <w:t xml:space="preserve"> return to investment in skills comes from accurately measuring</w:t>
      </w:r>
      <w:r w:rsidR="002A45A4" w:rsidRPr="00793A4A">
        <w:rPr>
          <w:rFonts w:ascii="Times New Roman" w:hAnsi="Times New Roman"/>
          <w:sz w:val="24"/>
          <w:szCs w:val="24"/>
        </w:rPr>
        <w:t xml:space="preserve"> the skills that </w:t>
      </w:r>
      <w:r w:rsidR="00333F8C">
        <w:rPr>
          <w:rFonts w:ascii="Times New Roman" w:hAnsi="Times New Roman"/>
          <w:sz w:val="24"/>
          <w:szCs w:val="24"/>
        </w:rPr>
        <w:t xml:space="preserve">a given amount of </w:t>
      </w:r>
      <w:r w:rsidR="002A45A4" w:rsidRPr="00793A4A">
        <w:rPr>
          <w:rFonts w:ascii="Times New Roman" w:hAnsi="Times New Roman"/>
          <w:sz w:val="24"/>
          <w:szCs w:val="24"/>
        </w:rPr>
        <w:t>education produces. Largely due to data availability, the literature has focused on the return to years of schooling or completion of a particular programme or qualification</w:t>
      </w:r>
      <w:r w:rsidR="0007719E">
        <w:rPr>
          <w:rFonts w:ascii="Times New Roman" w:hAnsi="Times New Roman"/>
          <w:sz w:val="24"/>
          <w:szCs w:val="24"/>
        </w:rPr>
        <w:t>, as section 3</w:t>
      </w:r>
      <w:r w:rsidR="00D403D4">
        <w:rPr>
          <w:rFonts w:ascii="Times New Roman" w:hAnsi="Times New Roman"/>
          <w:sz w:val="24"/>
          <w:szCs w:val="24"/>
        </w:rPr>
        <w:t xml:space="preserve"> shows</w:t>
      </w:r>
      <w:r w:rsidR="002A45A4" w:rsidRPr="00793A4A">
        <w:rPr>
          <w:rFonts w:ascii="Times New Roman" w:hAnsi="Times New Roman"/>
          <w:sz w:val="24"/>
          <w:szCs w:val="24"/>
        </w:rPr>
        <w:t>. These act as proxies for the skills which attract rew</w:t>
      </w:r>
      <w:r w:rsidR="0007719E">
        <w:rPr>
          <w:rFonts w:ascii="Times New Roman" w:hAnsi="Times New Roman"/>
          <w:sz w:val="24"/>
          <w:szCs w:val="24"/>
        </w:rPr>
        <w:t xml:space="preserve">ards in the labour market but they are obviously imperfect. </w:t>
      </w:r>
      <w:r>
        <w:rPr>
          <w:rFonts w:ascii="Times New Roman" w:hAnsi="Times New Roman"/>
          <w:sz w:val="24"/>
          <w:szCs w:val="24"/>
        </w:rPr>
        <w:t>T</w:t>
      </w:r>
      <w:r w:rsidR="0007719E" w:rsidRPr="00793A4A">
        <w:rPr>
          <w:rFonts w:ascii="Times New Roman" w:hAnsi="Times New Roman"/>
          <w:sz w:val="24"/>
          <w:szCs w:val="24"/>
        </w:rPr>
        <w:t xml:space="preserve">wo people may have different levels of skills </w:t>
      </w:r>
      <w:r w:rsidRPr="00793A4A">
        <w:rPr>
          <w:rFonts w:ascii="Times New Roman" w:hAnsi="Times New Roman"/>
          <w:sz w:val="24"/>
          <w:szCs w:val="24"/>
        </w:rPr>
        <w:t>if the quality of that education</w:t>
      </w:r>
      <w:r>
        <w:rPr>
          <w:rFonts w:ascii="Times New Roman" w:hAnsi="Times New Roman"/>
          <w:sz w:val="24"/>
          <w:szCs w:val="24"/>
        </w:rPr>
        <w:t xml:space="preserve"> or training</w:t>
      </w:r>
      <w:r w:rsidRPr="00793A4A">
        <w:rPr>
          <w:rFonts w:ascii="Times New Roman" w:hAnsi="Times New Roman"/>
          <w:sz w:val="24"/>
          <w:szCs w:val="24"/>
        </w:rPr>
        <w:t xml:space="preserve"> were different </w:t>
      </w:r>
      <w:r w:rsidR="0007719E" w:rsidRPr="00793A4A">
        <w:rPr>
          <w:rFonts w:ascii="Times New Roman" w:hAnsi="Times New Roman"/>
          <w:sz w:val="24"/>
          <w:szCs w:val="24"/>
        </w:rPr>
        <w:t>even if their numbers of years of education</w:t>
      </w:r>
      <w:r>
        <w:rPr>
          <w:rFonts w:ascii="Times New Roman" w:hAnsi="Times New Roman"/>
          <w:sz w:val="24"/>
          <w:szCs w:val="24"/>
        </w:rPr>
        <w:t xml:space="preserve"> or highest qualification were the same</w:t>
      </w:r>
      <w:r w:rsidR="0007719E" w:rsidRPr="00793A4A">
        <w:rPr>
          <w:rFonts w:ascii="Times New Roman" w:hAnsi="Times New Roman"/>
          <w:sz w:val="24"/>
          <w:szCs w:val="24"/>
        </w:rPr>
        <w:t>.</w:t>
      </w:r>
      <w:r>
        <w:rPr>
          <w:rFonts w:ascii="Times New Roman" w:hAnsi="Times New Roman"/>
          <w:sz w:val="24"/>
          <w:szCs w:val="24"/>
        </w:rPr>
        <w:t xml:space="preserve"> </w:t>
      </w:r>
      <w:r w:rsidR="002A45A4" w:rsidRPr="00793A4A">
        <w:rPr>
          <w:rFonts w:ascii="Times New Roman" w:hAnsi="Times New Roman"/>
          <w:sz w:val="24"/>
          <w:szCs w:val="24"/>
        </w:rPr>
        <w:t xml:space="preserve">This problem is particularly large in cross-country comparisons, as researchers would have to deal with different curricula, teaching methods and quality of institutions to fully captures skills differences. </w:t>
      </w:r>
    </w:p>
    <w:p w:rsidR="002A45A4" w:rsidRDefault="00306BA3" w:rsidP="00940760">
      <w:pPr>
        <w:spacing w:line="360" w:lineRule="auto"/>
        <w:jc w:val="both"/>
        <w:rPr>
          <w:rFonts w:ascii="Times New Roman" w:hAnsi="Times New Roman"/>
          <w:sz w:val="24"/>
          <w:szCs w:val="24"/>
        </w:rPr>
      </w:pPr>
      <w:r>
        <w:rPr>
          <w:rFonts w:ascii="Times New Roman" w:hAnsi="Times New Roman"/>
          <w:sz w:val="24"/>
          <w:szCs w:val="24"/>
        </w:rPr>
        <w:lastRenderedPageBreak/>
        <w:t xml:space="preserve">It </w:t>
      </w:r>
      <w:r w:rsidR="00661DC3">
        <w:rPr>
          <w:rFonts w:ascii="Times New Roman" w:hAnsi="Times New Roman"/>
          <w:sz w:val="24"/>
          <w:szCs w:val="24"/>
        </w:rPr>
        <w:t xml:space="preserve">has become </w:t>
      </w:r>
      <w:r w:rsidR="000B12FD">
        <w:rPr>
          <w:rFonts w:ascii="Times New Roman" w:hAnsi="Times New Roman"/>
          <w:sz w:val="24"/>
          <w:szCs w:val="24"/>
        </w:rPr>
        <w:t>possibl</w:t>
      </w:r>
      <w:r w:rsidR="00570A3C">
        <w:rPr>
          <w:rFonts w:ascii="Times New Roman" w:hAnsi="Times New Roman"/>
          <w:sz w:val="24"/>
          <w:szCs w:val="24"/>
        </w:rPr>
        <w:t>e</w:t>
      </w:r>
      <w:r w:rsidR="00661DC3">
        <w:rPr>
          <w:rFonts w:ascii="Times New Roman" w:hAnsi="Times New Roman"/>
          <w:sz w:val="24"/>
          <w:szCs w:val="24"/>
        </w:rPr>
        <w:t xml:space="preserve"> in recent years</w:t>
      </w:r>
      <w:r>
        <w:rPr>
          <w:rFonts w:ascii="Times New Roman" w:hAnsi="Times New Roman"/>
          <w:sz w:val="24"/>
          <w:szCs w:val="24"/>
        </w:rPr>
        <w:t xml:space="preserve"> to </w:t>
      </w:r>
      <w:r w:rsidRPr="00793A4A">
        <w:rPr>
          <w:rFonts w:ascii="Times New Roman" w:hAnsi="Times New Roman"/>
          <w:sz w:val="24"/>
          <w:szCs w:val="24"/>
        </w:rPr>
        <w:t>directly measure the skills possessed by individuals</w:t>
      </w:r>
      <w:r w:rsidR="00661DC3">
        <w:rPr>
          <w:rFonts w:ascii="Times New Roman" w:hAnsi="Times New Roman"/>
          <w:sz w:val="24"/>
          <w:szCs w:val="24"/>
        </w:rPr>
        <w:t xml:space="preserve"> due to the propagation of large scale international </w:t>
      </w:r>
      <w:r w:rsidR="000B12FD">
        <w:rPr>
          <w:rFonts w:ascii="Times New Roman" w:hAnsi="Times New Roman"/>
          <w:sz w:val="24"/>
          <w:szCs w:val="24"/>
        </w:rPr>
        <w:t xml:space="preserve">tests by organisations </w:t>
      </w:r>
      <w:r w:rsidR="00D403D4">
        <w:rPr>
          <w:rFonts w:ascii="Times New Roman" w:hAnsi="Times New Roman"/>
          <w:sz w:val="24"/>
          <w:szCs w:val="24"/>
        </w:rPr>
        <w:t>such as</w:t>
      </w:r>
      <w:r w:rsidR="000B12FD">
        <w:rPr>
          <w:rFonts w:ascii="Times New Roman" w:hAnsi="Times New Roman"/>
          <w:sz w:val="24"/>
          <w:szCs w:val="24"/>
        </w:rPr>
        <w:t xml:space="preserve"> the OECD of the actual competencies of workers across different countries. While the Programme for International Student Assessment (PISA) attracts more headlines – typically as a measure of various educational systems relative performance through the maths and science abilities of their</w:t>
      </w:r>
      <w:r w:rsidR="00565B20">
        <w:rPr>
          <w:rFonts w:ascii="Times New Roman" w:hAnsi="Times New Roman"/>
          <w:sz w:val="24"/>
          <w:szCs w:val="24"/>
        </w:rPr>
        <w:t xml:space="preserve"> 15 year old</w:t>
      </w:r>
      <w:r w:rsidR="000B12FD">
        <w:rPr>
          <w:rFonts w:ascii="Times New Roman" w:hAnsi="Times New Roman"/>
          <w:sz w:val="24"/>
          <w:szCs w:val="24"/>
        </w:rPr>
        <w:t xml:space="preserve"> children, assessing labour market outcomes requires testing of working age individuals, such as </w:t>
      </w:r>
      <w:r w:rsidR="002A45A4" w:rsidRPr="00793A4A">
        <w:rPr>
          <w:rFonts w:ascii="Times New Roman" w:hAnsi="Times New Roman"/>
          <w:sz w:val="24"/>
          <w:szCs w:val="24"/>
        </w:rPr>
        <w:t xml:space="preserve">the International Adult Literacy Survey </w:t>
      </w:r>
      <w:r w:rsidR="000B12FD">
        <w:rPr>
          <w:rFonts w:ascii="Times New Roman" w:hAnsi="Times New Roman"/>
          <w:sz w:val="24"/>
          <w:szCs w:val="24"/>
        </w:rPr>
        <w:t xml:space="preserve">(IALS) </w:t>
      </w:r>
      <w:r w:rsidR="002A45A4" w:rsidRPr="00793A4A">
        <w:rPr>
          <w:rFonts w:ascii="Times New Roman" w:hAnsi="Times New Roman"/>
          <w:sz w:val="24"/>
          <w:szCs w:val="24"/>
        </w:rPr>
        <w:t>and the more recent International As</w:t>
      </w:r>
      <w:r w:rsidR="000B12FD">
        <w:rPr>
          <w:rFonts w:ascii="Times New Roman" w:hAnsi="Times New Roman"/>
          <w:sz w:val="24"/>
          <w:szCs w:val="24"/>
        </w:rPr>
        <w:t>sessment of Adult Competencies (PIAAC).</w:t>
      </w:r>
    </w:p>
    <w:p w:rsidR="007008D7" w:rsidRPr="00057B56" w:rsidRDefault="00DA22CA" w:rsidP="007008D7">
      <w:pPr>
        <w:spacing w:line="360" w:lineRule="auto"/>
        <w:jc w:val="both"/>
        <w:rPr>
          <w:rFonts w:ascii="Times New Roman" w:hAnsi="Times New Roman"/>
          <w:sz w:val="24"/>
          <w:szCs w:val="24"/>
        </w:rPr>
      </w:pPr>
      <w:r>
        <w:rPr>
          <w:rFonts w:ascii="Times New Roman" w:hAnsi="Times New Roman"/>
          <w:sz w:val="24"/>
          <w:szCs w:val="24"/>
        </w:rPr>
        <w:t xml:space="preserve">Hanuschek </w:t>
      </w:r>
      <w:r w:rsidRPr="00DA22CA">
        <w:rPr>
          <w:rFonts w:ascii="Times New Roman" w:hAnsi="Times New Roman"/>
          <w:i/>
          <w:sz w:val="24"/>
          <w:szCs w:val="24"/>
        </w:rPr>
        <w:t>et al</w:t>
      </w:r>
      <w:r>
        <w:rPr>
          <w:rFonts w:ascii="Times New Roman" w:hAnsi="Times New Roman"/>
          <w:sz w:val="24"/>
          <w:szCs w:val="24"/>
        </w:rPr>
        <w:t xml:space="preserve"> (2013) use</w:t>
      </w:r>
      <w:r w:rsidR="00057B56" w:rsidRPr="00057B56">
        <w:rPr>
          <w:rFonts w:ascii="Times New Roman" w:hAnsi="Times New Roman"/>
          <w:sz w:val="24"/>
          <w:szCs w:val="24"/>
        </w:rPr>
        <w:t xml:space="preserve"> PIAAC </w:t>
      </w:r>
      <w:r>
        <w:rPr>
          <w:rFonts w:ascii="Times New Roman" w:hAnsi="Times New Roman"/>
          <w:sz w:val="24"/>
          <w:szCs w:val="24"/>
        </w:rPr>
        <w:t xml:space="preserve">to </w:t>
      </w:r>
      <w:r w:rsidR="00057B56" w:rsidRPr="00057B56">
        <w:rPr>
          <w:rFonts w:ascii="Times New Roman" w:hAnsi="Times New Roman"/>
          <w:sz w:val="24"/>
          <w:szCs w:val="24"/>
        </w:rPr>
        <w:t>provide</w:t>
      </w:r>
      <w:r>
        <w:rPr>
          <w:rFonts w:ascii="Times New Roman" w:hAnsi="Times New Roman"/>
          <w:sz w:val="24"/>
          <w:szCs w:val="24"/>
        </w:rPr>
        <w:t xml:space="preserve"> the most recent</w:t>
      </w:r>
      <w:r w:rsidR="00057B56" w:rsidRPr="00057B56">
        <w:rPr>
          <w:rFonts w:ascii="Times New Roman" w:hAnsi="Times New Roman"/>
          <w:sz w:val="24"/>
          <w:szCs w:val="24"/>
        </w:rPr>
        <w:t xml:space="preserve"> internationally comparable data about </w:t>
      </w:r>
      <w:r>
        <w:rPr>
          <w:rFonts w:ascii="Times New Roman" w:hAnsi="Times New Roman"/>
          <w:sz w:val="24"/>
          <w:szCs w:val="24"/>
        </w:rPr>
        <w:t xml:space="preserve">the returns to cognitive </w:t>
      </w:r>
      <w:r w:rsidR="00057B56" w:rsidRPr="00057B56">
        <w:rPr>
          <w:rFonts w:ascii="Times New Roman" w:hAnsi="Times New Roman"/>
          <w:sz w:val="24"/>
          <w:szCs w:val="24"/>
        </w:rPr>
        <w:t>skills</w:t>
      </w:r>
      <w:r>
        <w:rPr>
          <w:rFonts w:ascii="Times New Roman" w:hAnsi="Times New Roman"/>
          <w:sz w:val="24"/>
          <w:szCs w:val="24"/>
        </w:rPr>
        <w:t xml:space="preserve"> across 22 OECD countries.</w:t>
      </w:r>
      <w:r w:rsidR="00057B56" w:rsidRPr="00057B56">
        <w:rPr>
          <w:rFonts w:ascii="Times New Roman" w:hAnsi="Times New Roman"/>
          <w:sz w:val="24"/>
          <w:szCs w:val="24"/>
        </w:rPr>
        <w:t xml:space="preserve"> </w:t>
      </w:r>
      <w:r>
        <w:rPr>
          <w:rFonts w:ascii="Times New Roman" w:hAnsi="Times New Roman"/>
          <w:sz w:val="24"/>
          <w:szCs w:val="24"/>
        </w:rPr>
        <w:t xml:space="preserve">In </w:t>
      </w:r>
      <w:r w:rsidR="006F32C3">
        <w:rPr>
          <w:rFonts w:ascii="Times New Roman" w:hAnsi="Times New Roman"/>
          <w:sz w:val="24"/>
          <w:szCs w:val="24"/>
        </w:rPr>
        <w:t>this analysis</w:t>
      </w:r>
      <w:r>
        <w:rPr>
          <w:rFonts w:ascii="Times New Roman" w:hAnsi="Times New Roman"/>
          <w:sz w:val="24"/>
          <w:szCs w:val="24"/>
        </w:rPr>
        <w:t>, t</w:t>
      </w:r>
      <w:r w:rsidR="006F32C3">
        <w:rPr>
          <w:rFonts w:ascii="Times New Roman" w:hAnsi="Times New Roman"/>
          <w:sz w:val="24"/>
          <w:szCs w:val="24"/>
        </w:rPr>
        <w:t>he authors</w:t>
      </w:r>
      <w:r>
        <w:rPr>
          <w:rFonts w:ascii="Times New Roman" w:hAnsi="Times New Roman"/>
          <w:sz w:val="24"/>
          <w:szCs w:val="24"/>
        </w:rPr>
        <w:t xml:space="preserve"> a</w:t>
      </w:r>
      <w:r w:rsidR="006F32C3">
        <w:rPr>
          <w:rFonts w:ascii="Times New Roman" w:hAnsi="Times New Roman"/>
          <w:sz w:val="24"/>
          <w:szCs w:val="24"/>
        </w:rPr>
        <w:t>dapt</w:t>
      </w:r>
      <w:r w:rsidR="00057B56" w:rsidRPr="00057B56">
        <w:rPr>
          <w:rFonts w:ascii="Times New Roman" w:hAnsi="Times New Roman"/>
          <w:sz w:val="24"/>
          <w:szCs w:val="24"/>
        </w:rPr>
        <w:t xml:space="preserve"> the standard Mincer </w:t>
      </w:r>
      <w:r>
        <w:rPr>
          <w:rFonts w:ascii="Times New Roman" w:hAnsi="Times New Roman"/>
          <w:sz w:val="24"/>
          <w:szCs w:val="24"/>
        </w:rPr>
        <w:t xml:space="preserve">earnings </w:t>
      </w:r>
      <w:r w:rsidR="00057B56" w:rsidRPr="00057B56">
        <w:rPr>
          <w:rFonts w:ascii="Times New Roman" w:hAnsi="Times New Roman"/>
          <w:sz w:val="24"/>
          <w:szCs w:val="24"/>
        </w:rPr>
        <w:t xml:space="preserve">equation </w:t>
      </w:r>
      <w:r>
        <w:rPr>
          <w:rFonts w:ascii="Times New Roman" w:hAnsi="Times New Roman"/>
          <w:sz w:val="24"/>
          <w:szCs w:val="24"/>
        </w:rPr>
        <w:t>to replace</w:t>
      </w:r>
      <w:r w:rsidR="00057B56" w:rsidRPr="00057B56">
        <w:rPr>
          <w:rFonts w:ascii="Times New Roman" w:hAnsi="Times New Roman"/>
          <w:sz w:val="24"/>
          <w:szCs w:val="24"/>
        </w:rPr>
        <w:t xml:space="preserve"> </w:t>
      </w:r>
      <w:r w:rsidR="006F32C3">
        <w:rPr>
          <w:rFonts w:ascii="Times New Roman" w:hAnsi="Times New Roman"/>
          <w:sz w:val="24"/>
          <w:szCs w:val="24"/>
        </w:rPr>
        <w:t xml:space="preserve">years of </w:t>
      </w:r>
      <w:r w:rsidR="00057B56" w:rsidRPr="00057B56">
        <w:rPr>
          <w:rFonts w:ascii="Times New Roman" w:hAnsi="Times New Roman"/>
          <w:sz w:val="24"/>
          <w:szCs w:val="24"/>
        </w:rPr>
        <w:t xml:space="preserve">schooling with </w:t>
      </w:r>
      <w:r>
        <w:rPr>
          <w:rFonts w:ascii="Times New Roman" w:hAnsi="Times New Roman"/>
          <w:sz w:val="24"/>
          <w:szCs w:val="24"/>
        </w:rPr>
        <w:t>a measure of individual skill</w:t>
      </w:r>
      <w:r w:rsidR="00306BA3">
        <w:rPr>
          <w:rFonts w:ascii="Times New Roman" w:hAnsi="Times New Roman"/>
          <w:sz w:val="24"/>
          <w:szCs w:val="24"/>
        </w:rPr>
        <w:t xml:space="preserve"> </w:t>
      </w:r>
      <w:r>
        <w:rPr>
          <w:rFonts w:ascii="Times New Roman" w:hAnsi="Times New Roman"/>
          <w:sz w:val="24"/>
          <w:szCs w:val="24"/>
        </w:rPr>
        <w:t xml:space="preserve">taken from tests of </w:t>
      </w:r>
      <w:r w:rsidRPr="00057B56">
        <w:rPr>
          <w:rFonts w:ascii="Times New Roman" w:hAnsi="Times New Roman"/>
          <w:sz w:val="24"/>
          <w:szCs w:val="24"/>
        </w:rPr>
        <w:t>literacy, numeracy and problem solving</w:t>
      </w:r>
      <w:r w:rsidR="00306BA3">
        <w:rPr>
          <w:rFonts w:ascii="Times New Roman" w:hAnsi="Times New Roman"/>
          <w:sz w:val="24"/>
          <w:szCs w:val="24"/>
        </w:rPr>
        <w:t>.</w:t>
      </w:r>
      <w:r w:rsidR="006F32C3">
        <w:rPr>
          <w:rFonts w:ascii="Times New Roman" w:hAnsi="Times New Roman"/>
          <w:sz w:val="24"/>
          <w:szCs w:val="24"/>
        </w:rPr>
        <w:t xml:space="preserve">When included separately, the estimated wage premia were </w:t>
      </w:r>
      <w:r w:rsidR="006F32C3" w:rsidRPr="00057B56">
        <w:rPr>
          <w:rFonts w:ascii="Times New Roman" w:hAnsi="Times New Roman"/>
          <w:sz w:val="24"/>
          <w:szCs w:val="24"/>
        </w:rPr>
        <w:t>17.8</w:t>
      </w:r>
      <w:r w:rsidR="006F32C3">
        <w:rPr>
          <w:rFonts w:ascii="Times New Roman" w:hAnsi="Times New Roman"/>
          <w:sz w:val="24"/>
          <w:szCs w:val="24"/>
        </w:rPr>
        <w:t>%, 17.1% and 14.3% for the three skill groups across all of the countries</w:t>
      </w:r>
      <w:r w:rsidR="006F32C3">
        <w:rPr>
          <w:rStyle w:val="FootnoteReference"/>
          <w:rFonts w:ascii="Times New Roman" w:hAnsi="Times New Roman"/>
          <w:sz w:val="24"/>
          <w:szCs w:val="24"/>
        </w:rPr>
        <w:footnoteReference w:id="10"/>
      </w:r>
      <w:r w:rsidR="006F32C3">
        <w:rPr>
          <w:rFonts w:ascii="Times New Roman" w:hAnsi="Times New Roman"/>
          <w:sz w:val="24"/>
          <w:szCs w:val="24"/>
        </w:rPr>
        <w:t xml:space="preserve"> – skills </w:t>
      </w:r>
      <w:r w:rsidR="007008D7">
        <w:rPr>
          <w:rFonts w:ascii="Times New Roman" w:hAnsi="Times New Roman"/>
          <w:sz w:val="24"/>
          <w:szCs w:val="24"/>
        </w:rPr>
        <w:t>ar</w:t>
      </w:r>
      <w:r w:rsidR="006F32C3">
        <w:rPr>
          <w:rFonts w:ascii="Times New Roman" w:hAnsi="Times New Roman"/>
          <w:sz w:val="24"/>
          <w:szCs w:val="24"/>
        </w:rPr>
        <w:t xml:space="preserve">e highly correlated so it </w:t>
      </w:r>
      <w:r w:rsidR="00441067">
        <w:rPr>
          <w:rFonts w:ascii="Times New Roman" w:hAnsi="Times New Roman"/>
          <w:sz w:val="24"/>
          <w:szCs w:val="24"/>
        </w:rPr>
        <w:t xml:space="preserve">is unsurprising these effects are similar. However, they are not so correlated that it was not possible to include all three skills in one regression. In this case, the wage premia to each skill </w:t>
      </w:r>
      <w:r w:rsidR="00B3290F">
        <w:rPr>
          <w:rFonts w:ascii="Times New Roman" w:hAnsi="Times New Roman"/>
          <w:sz w:val="24"/>
          <w:szCs w:val="24"/>
        </w:rPr>
        <w:t xml:space="preserve">category </w:t>
      </w:r>
      <w:r w:rsidR="00441067">
        <w:rPr>
          <w:rFonts w:ascii="Times New Roman" w:hAnsi="Times New Roman"/>
          <w:sz w:val="24"/>
          <w:szCs w:val="24"/>
        </w:rPr>
        <w:t xml:space="preserve">was </w:t>
      </w:r>
      <w:r w:rsidR="007008D7" w:rsidRPr="00057B56">
        <w:rPr>
          <w:rFonts w:ascii="Times New Roman" w:hAnsi="Times New Roman"/>
          <w:sz w:val="24"/>
          <w:szCs w:val="24"/>
        </w:rPr>
        <w:t>7.8%, 7.6% and 3.7% respectively.</w:t>
      </w:r>
    </w:p>
    <w:p w:rsidR="007008D7" w:rsidRDefault="00057B56" w:rsidP="00057B56">
      <w:pPr>
        <w:spacing w:line="360" w:lineRule="auto"/>
        <w:jc w:val="both"/>
        <w:rPr>
          <w:rFonts w:ascii="Times New Roman" w:hAnsi="Times New Roman"/>
          <w:sz w:val="24"/>
          <w:szCs w:val="24"/>
        </w:rPr>
      </w:pPr>
      <w:r w:rsidRPr="00057B56">
        <w:rPr>
          <w:rFonts w:ascii="Times New Roman" w:hAnsi="Times New Roman"/>
          <w:sz w:val="24"/>
          <w:szCs w:val="24"/>
        </w:rPr>
        <w:t>Figur</w:t>
      </w:r>
      <w:r w:rsidR="007008D7">
        <w:rPr>
          <w:rFonts w:ascii="Times New Roman" w:hAnsi="Times New Roman"/>
          <w:sz w:val="24"/>
          <w:szCs w:val="24"/>
        </w:rPr>
        <w:t xml:space="preserve">e </w:t>
      </w:r>
      <w:r w:rsidR="0019424A">
        <w:rPr>
          <w:rFonts w:ascii="Times New Roman" w:hAnsi="Times New Roman"/>
          <w:sz w:val="24"/>
          <w:szCs w:val="24"/>
        </w:rPr>
        <w:t>4.</w:t>
      </w:r>
      <w:r w:rsidR="007008D7">
        <w:rPr>
          <w:rFonts w:ascii="Times New Roman" w:hAnsi="Times New Roman"/>
          <w:sz w:val="24"/>
          <w:szCs w:val="24"/>
        </w:rPr>
        <w:t>1 shows the estimated results for each country separately</w:t>
      </w:r>
      <w:r w:rsidR="00441067">
        <w:rPr>
          <w:rFonts w:ascii="Times New Roman" w:hAnsi="Times New Roman"/>
          <w:sz w:val="24"/>
          <w:szCs w:val="24"/>
        </w:rPr>
        <w:t>, looking at numeracy skills only. It compares this wage premia to that found in a standard earnings regression using years of schooling. Clearly, the two estimates are connected, although the correlation is not perfect</w:t>
      </w:r>
      <w:r w:rsidR="001B5D14">
        <w:rPr>
          <w:rFonts w:ascii="Times New Roman" w:hAnsi="Times New Roman"/>
          <w:sz w:val="24"/>
          <w:szCs w:val="24"/>
        </w:rPr>
        <w:t xml:space="preserve">. </w:t>
      </w:r>
    </w:p>
    <w:p w:rsidR="00A72D7E" w:rsidRPr="00A72D7E" w:rsidRDefault="00A72D7E" w:rsidP="00057B56">
      <w:pPr>
        <w:spacing w:line="360" w:lineRule="auto"/>
        <w:jc w:val="both"/>
        <w:rPr>
          <w:rFonts w:ascii="Times New Roman" w:hAnsi="Times New Roman"/>
          <w:i/>
          <w:sz w:val="24"/>
          <w:szCs w:val="24"/>
        </w:rPr>
      </w:pPr>
      <w:r w:rsidRPr="00A72D7E">
        <w:rPr>
          <w:rFonts w:ascii="Times New Roman" w:hAnsi="Times New Roman"/>
          <w:i/>
          <w:sz w:val="24"/>
          <w:szCs w:val="24"/>
        </w:rPr>
        <w:t>Figure 4.1 here</w:t>
      </w:r>
    </w:p>
    <w:p w:rsidR="00135CAA" w:rsidRDefault="003A41F2" w:rsidP="00057B56">
      <w:pPr>
        <w:spacing w:line="360" w:lineRule="auto"/>
        <w:jc w:val="both"/>
        <w:rPr>
          <w:rFonts w:ascii="Times New Roman" w:hAnsi="Times New Roman"/>
          <w:sz w:val="24"/>
          <w:szCs w:val="24"/>
        </w:rPr>
      </w:pPr>
      <w:r>
        <w:rPr>
          <w:rFonts w:ascii="Times New Roman" w:hAnsi="Times New Roman"/>
          <w:sz w:val="24"/>
          <w:szCs w:val="24"/>
        </w:rPr>
        <w:t xml:space="preserve">The analysis also estimates a wage regression using both numeracy – as the proxy for cognitive skills </w:t>
      </w:r>
      <w:r w:rsidR="005112EA">
        <w:rPr>
          <w:rFonts w:ascii="Times New Roman" w:hAnsi="Times New Roman"/>
          <w:sz w:val="24"/>
          <w:szCs w:val="24"/>
        </w:rPr>
        <w:t xml:space="preserve">– </w:t>
      </w:r>
      <w:r>
        <w:rPr>
          <w:rFonts w:ascii="Times New Roman" w:hAnsi="Times New Roman"/>
          <w:sz w:val="24"/>
          <w:szCs w:val="24"/>
        </w:rPr>
        <w:t xml:space="preserve">and the standard years of education. </w:t>
      </w:r>
      <w:r w:rsidR="00057B56" w:rsidRPr="00057B56">
        <w:rPr>
          <w:rFonts w:ascii="Times New Roman" w:hAnsi="Times New Roman"/>
          <w:sz w:val="24"/>
          <w:szCs w:val="24"/>
        </w:rPr>
        <w:t xml:space="preserve">Including numeracy </w:t>
      </w:r>
      <w:r w:rsidR="005112EA">
        <w:rPr>
          <w:rFonts w:ascii="Times New Roman" w:hAnsi="Times New Roman"/>
          <w:sz w:val="24"/>
          <w:szCs w:val="24"/>
        </w:rPr>
        <w:t xml:space="preserve">lowers </w:t>
      </w:r>
      <w:r w:rsidR="00057B56" w:rsidRPr="00057B56">
        <w:rPr>
          <w:rFonts w:ascii="Times New Roman" w:hAnsi="Times New Roman"/>
          <w:sz w:val="24"/>
          <w:szCs w:val="24"/>
        </w:rPr>
        <w:t xml:space="preserve">the estimated returns to years of schooling from </w:t>
      </w:r>
      <w:r>
        <w:rPr>
          <w:rFonts w:ascii="Times New Roman" w:hAnsi="Times New Roman"/>
          <w:sz w:val="24"/>
          <w:szCs w:val="24"/>
        </w:rPr>
        <w:t>7.5%</w:t>
      </w:r>
      <w:r w:rsidR="00057B56" w:rsidRPr="00057B56">
        <w:rPr>
          <w:rFonts w:ascii="Times New Roman" w:hAnsi="Times New Roman"/>
          <w:sz w:val="24"/>
          <w:szCs w:val="24"/>
        </w:rPr>
        <w:t xml:space="preserve"> to around 6% </w:t>
      </w:r>
      <w:r w:rsidR="005112EA">
        <w:rPr>
          <w:rFonts w:ascii="Times New Roman" w:hAnsi="Times New Roman"/>
          <w:sz w:val="24"/>
          <w:szCs w:val="24"/>
        </w:rPr>
        <w:t>when all countries are included together</w:t>
      </w:r>
      <w:r w:rsidR="00135CAA">
        <w:rPr>
          <w:rFonts w:ascii="Times New Roman" w:hAnsi="Times New Roman"/>
          <w:sz w:val="24"/>
          <w:szCs w:val="24"/>
        </w:rPr>
        <w:t>, but the years of schooling measure remains significant</w:t>
      </w:r>
      <w:r w:rsidR="00057B56" w:rsidRPr="00057B56">
        <w:rPr>
          <w:rFonts w:ascii="Times New Roman" w:hAnsi="Times New Roman"/>
          <w:sz w:val="24"/>
          <w:szCs w:val="24"/>
        </w:rPr>
        <w:t>.</w:t>
      </w:r>
      <w:r w:rsidR="00511B5F">
        <w:rPr>
          <w:rFonts w:ascii="Times New Roman" w:hAnsi="Times New Roman"/>
          <w:sz w:val="24"/>
          <w:szCs w:val="24"/>
        </w:rPr>
        <w:t xml:space="preserve"> This could be interpreted as saying that a lot of the return to education isn’t about skill differences, and that the amount of education may also be capturing characteristics that employers care about which are typically found amongst the better educated, but which are not produced within education directly. On the other hand, </w:t>
      </w:r>
      <w:r w:rsidR="00511B5F">
        <w:rPr>
          <w:rFonts w:ascii="Times New Roman" w:hAnsi="Times New Roman"/>
          <w:sz w:val="24"/>
          <w:szCs w:val="24"/>
        </w:rPr>
        <w:lastRenderedPageBreak/>
        <w:t xml:space="preserve">it is possible that the test is not a perfect way of measuring an individual’s actual numeracy skills, and that this measurement error lowers the return on skills directly and allocates some of it to years of education. Just as likely is that there are other skills and abilities not captured by just looking at numeracy – for example, creativity or communication skills – which are also rewarded in the labour market. </w:t>
      </w:r>
      <w:r w:rsidR="00234B82">
        <w:rPr>
          <w:rFonts w:ascii="Times New Roman" w:hAnsi="Times New Roman"/>
          <w:sz w:val="24"/>
          <w:szCs w:val="24"/>
        </w:rPr>
        <w:t>Hence, while including direct measures of particular skills gives us a partial insight into what the return to qualifications or the amount of education and training is capturing, it doe</w:t>
      </w:r>
      <w:r w:rsidR="00EA1D75">
        <w:rPr>
          <w:rFonts w:ascii="Times New Roman" w:hAnsi="Times New Roman"/>
          <w:sz w:val="24"/>
          <w:szCs w:val="24"/>
        </w:rPr>
        <w:t xml:space="preserve">s not give us as unambigious a conclusion as </w:t>
      </w:r>
      <w:r w:rsidR="00234B82">
        <w:rPr>
          <w:rFonts w:ascii="Times New Roman" w:hAnsi="Times New Roman"/>
          <w:sz w:val="24"/>
          <w:szCs w:val="24"/>
        </w:rPr>
        <w:t>similar estimates at the macro-level</w:t>
      </w:r>
      <w:r w:rsidR="00511B5F">
        <w:rPr>
          <w:rFonts w:ascii="Times New Roman" w:hAnsi="Times New Roman"/>
          <w:sz w:val="24"/>
          <w:szCs w:val="24"/>
        </w:rPr>
        <w:t>, where</w:t>
      </w:r>
      <w:r w:rsidR="006303C9">
        <w:rPr>
          <w:rFonts w:ascii="Times New Roman" w:hAnsi="Times New Roman"/>
          <w:sz w:val="24"/>
          <w:szCs w:val="24"/>
        </w:rPr>
        <w:t>as</w:t>
      </w:r>
      <w:r w:rsidR="00511B5F">
        <w:rPr>
          <w:rFonts w:ascii="Times New Roman" w:hAnsi="Times New Roman"/>
          <w:sz w:val="24"/>
          <w:szCs w:val="24"/>
        </w:rPr>
        <w:t xml:space="preserve"> related research has shown </w:t>
      </w:r>
      <w:r w:rsidR="009E4FC3">
        <w:rPr>
          <w:rFonts w:ascii="Times New Roman" w:hAnsi="Times New Roman"/>
          <w:sz w:val="24"/>
          <w:szCs w:val="24"/>
        </w:rPr>
        <w:t xml:space="preserve">that </w:t>
      </w:r>
      <w:r w:rsidR="006303C9">
        <w:rPr>
          <w:rFonts w:ascii="Times New Roman" w:hAnsi="Times New Roman"/>
          <w:sz w:val="24"/>
          <w:szCs w:val="24"/>
        </w:rPr>
        <w:t>after</w:t>
      </w:r>
      <w:r w:rsidR="009E4FC3">
        <w:rPr>
          <w:rFonts w:ascii="Times New Roman" w:hAnsi="Times New Roman"/>
          <w:sz w:val="24"/>
          <w:szCs w:val="24"/>
        </w:rPr>
        <w:t xml:space="preserve"> </w:t>
      </w:r>
      <w:r w:rsidR="00511B5F">
        <w:rPr>
          <w:rFonts w:ascii="Times New Roman" w:hAnsi="Times New Roman"/>
          <w:sz w:val="24"/>
          <w:szCs w:val="24"/>
        </w:rPr>
        <w:t>control</w:t>
      </w:r>
      <w:r w:rsidR="006303C9">
        <w:rPr>
          <w:rFonts w:ascii="Times New Roman" w:hAnsi="Times New Roman"/>
          <w:sz w:val="24"/>
          <w:szCs w:val="24"/>
        </w:rPr>
        <w:t>ling</w:t>
      </w:r>
      <w:r w:rsidR="00511B5F">
        <w:rPr>
          <w:rFonts w:ascii="Times New Roman" w:hAnsi="Times New Roman"/>
          <w:sz w:val="24"/>
          <w:szCs w:val="24"/>
        </w:rPr>
        <w:t xml:space="preserve"> for </w:t>
      </w:r>
      <w:r w:rsidR="009E4FC3">
        <w:rPr>
          <w:rFonts w:ascii="Times New Roman" w:hAnsi="Times New Roman"/>
          <w:sz w:val="24"/>
          <w:szCs w:val="24"/>
        </w:rPr>
        <w:t>a countries average level of cognitive skills</w:t>
      </w:r>
      <w:r w:rsidR="00511B5F">
        <w:rPr>
          <w:rFonts w:ascii="Times New Roman" w:hAnsi="Times New Roman"/>
          <w:sz w:val="24"/>
          <w:szCs w:val="24"/>
        </w:rPr>
        <w:t xml:space="preserve">, the effect of </w:t>
      </w:r>
      <w:r w:rsidR="009E4FC3">
        <w:rPr>
          <w:rFonts w:ascii="Times New Roman" w:hAnsi="Times New Roman"/>
          <w:sz w:val="24"/>
          <w:szCs w:val="24"/>
        </w:rPr>
        <w:t xml:space="preserve">average </w:t>
      </w:r>
      <w:r w:rsidR="00511B5F">
        <w:rPr>
          <w:rFonts w:ascii="Times New Roman" w:hAnsi="Times New Roman"/>
          <w:sz w:val="24"/>
          <w:szCs w:val="24"/>
        </w:rPr>
        <w:t>years of education on growth vanishes (Hanushek and Woessmann, 2008)</w:t>
      </w:r>
    </w:p>
    <w:p w:rsidR="00793A4A" w:rsidRPr="00793A4A" w:rsidRDefault="00793A4A" w:rsidP="00940760">
      <w:pPr>
        <w:spacing w:line="360" w:lineRule="auto"/>
        <w:jc w:val="both"/>
        <w:rPr>
          <w:rFonts w:ascii="Times New Roman" w:hAnsi="Times New Roman"/>
          <w:b/>
          <w:sz w:val="24"/>
          <w:szCs w:val="24"/>
        </w:rPr>
      </w:pPr>
      <w:r w:rsidRPr="00793A4A">
        <w:rPr>
          <w:rFonts w:ascii="Times New Roman" w:hAnsi="Times New Roman"/>
          <w:b/>
          <w:sz w:val="24"/>
          <w:szCs w:val="24"/>
        </w:rPr>
        <w:t>Interpreting wage equations: are they causal?</w:t>
      </w:r>
    </w:p>
    <w:p w:rsidR="00DB109B" w:rsidRPr="00DB109B" w:rsidRDefault="00DB109B" w:rsidP="00940760">
      <w:pPr>
        <w:spacing w:line="360" w:lineRule="auto"/>
        <w:jc w:val="both"/>
        <w:rPr>
          <w:rFonts w:ascii="Times New Roman" w:hAnsi="Times New Roman"/>
          <w:i/>
          <w:sz w:val="24"/>
          <w:szCs w:val="24"/>
        </w:rPr>
      </w:pPr>
      <w:r w:rsidRPr="00DB109B">
        <w:rPr>
          <w:rFonts w:ascii="Times New Roman" w:hAnsi="Times New Roman"/>
          <w:i/>
          <w:sz w:val="24"/>
          <w:szCs w:val="24"/>
        </w:rPr>
        <w:t>5.1</w:t>
      </w:r>
      <w:r w:rsidRPr="00DB109B">
        <w:rPr>
          <w:rFonts w:ascii="Times New Roman" w:hAnsi="Times New Roman"/>
          <w:i/>
          <w:sz w:val="24"/>
          <w:szCs w:val="24"/>
        </w:rPr>
        <w:tab/>
        <w:t>The ability bias problem</w:t>
      </w:r>
    </w:p>
    <w:p w:rsidR="00570A3C" w:rsidRDefault="005901D6" w:rsidP="00940760">
      <w:pPr>
        <w:spacing w:line="360" w:lineRule="auto"/>
        <w:jc w:val="both"/>
        <w:rPr>
          <w:rFonts w:ascii="Times New Roman" w:hAnsi="Times New Roman"/>
          <w:sz w:val="24"/>
          <w:szCs w:val="24"/>
        </w:rPr>
      </w:pPr>
      <w:r>
        <w:rPr>
          <w:rFonts w:ascii="Times New Roman" w:hAnsi="Times New Roman"/>
          <w:sz w:val="24"/>
          <w:szCs w:val="24"/>
        </w:rPr>
        <w:t xml:space="preserve">Returning to the more conventional wage regression approach, </w:t>
      </w:r>
      <w:r w:rsidR="006303C9">
        <w:rPr>
          <w:rFonts w:ascii="Times New Roman" w:hAnsi="Times New Roman"/>
          <w:sz w:val="24"/>
          <w:szCs w:val="24"/>
        </w:rPr>
        <w:t xml:space="preserve">perhaps </w:t>
      </w:r>
      <w:r>
        <w:rPr>
          <w:rFonts w:ascii="Times New Roman" w:hAnsi="Times New Roman"/>
          <w:sz w:val="24"/>
          <w:szCs w:val="24"/>
        </w:rPr>
        <w:t>t</w:t>
      </w:r>
      <w:r w:rsidR="002A45A4" w:rsidRPr="00793A4A">
        <w:rPr>
          <w:rFonts w:ascii="Times New Roman" w:hAnsi="Times New Roman"/>
          <w:sz w:val="24"/>
          <w:szCs w:val="24"/>
        </w:rPr>
        <w:t xml:space="preserve">he </w:t>
      </w:r>
      <w:r w:rsidR="006303C9">
        <w:rPr>
          <w:rFonts w:ascii="Times New Roman" w:hAnsi="Times New Roman"/>
          <w:sz w:val="24"/>
          <w:szCs w:val="24"/>
        </w:rPr>
        <w:t xml:space="preserve">most substantial </w:t>
      </w:r>
      <w:r w:rsidR="002A45A4" w:rsidRPr="00793A4A">
        <w:rPr>
          <w:rFonts w:ascii="Times New Roman" w:hAnsi="Times New Roman"/>
          <w:sz w:val="24"/>
          <w:szCs w:val="24"/>
        </w:rPr>
        <w:t>prob</w:t>
      </w:r>
      <w:r>
        <w:rPr>
          <w:rFonts w:ascii="Times New Roman" w:hAnsi="Times New Roman"/>
          <w:sz w:val="24"/>
          <w:szCs w:val="24"/>
        </w:rPr>
        <w:t xml:space="preserve">lem </w:t>
      </w:r>
      <w:r w:rsidR="002A45A4" w:rsidRPr="00793A4A">
        <w:rPr>
          <w:rFonts w:ascii="Times New Roman" w:hAnsi="Times New Roman"/>
          <w:sz w:val="24"/>
          <w:szCs w:val="24"/>
        </w:rPr>
        <w:t>for labour market researchers</w:t>
      </w:r>
      <w:r w:rsidR="006303C9">
        <w:rPr>
          <w:rFonts w:ascii="Times New Roman" w:hAnsi="Times New Roman"/>
          <w:sz w:val="24"/>
          <w:szCs w:val="24"/>
        </w:rPr>
        <w:t>is</w:t>
      </w:r>
      <w:r w:rsidR="002A45A4" w:rsidRPr="00793A4A">
        <w:rPr>
          <w:rFonts w:ascii="Times New Roman" w:hAnsi="Times New Roman"/>
          <w:sz w:val="24"/>
          <w:szCs w:val="24"/>
        </w:rPr>
        <w:t xml:space="preserve"> causality. The theory of human capital suggests that investment in education and training increases worker productivity, which raises demand for those workers, which improves wages. In the regression analysis shown in section 3, we observe a wage premium for workers with more education and training, holding all other sources of earnings difference constant, which would support the human capital model and indicate the extra productivity gained from investing in skills. However, it is not possible to control for all factors that affect wages, as some things are difficult for a researcher to observe (for example, an individual’s self-motivation or their innate talents). This becomes a problem when these characteristics are themselves correlated with educational attainment</w:t>
      </w:r>
      <w:r w:rsidR="009E4FC3">
        <w:rPr>
          <w:rFonts w:ascii="Times New Roman" w:hAnsi="Times New Roman"/>
          <w:sz w:val="24"/>
          <w:szCs w:val="24"/>
        </w:rPr>
        <w:t xml:space="preserve"> because</w:t>
      </w:r>
      <w:r w:rsidR="002A45A4" w:rsidRPr="00793A4A">
        <w:rPr>
          <w:rFonts w:ascii="Times New Roman" w:hAnsi="Times New Roman"/>
          <w:sz w:val="24"/>
          <w:szCs w:val="24"/>
        </w:rPr>
        <w:t xml:space="preserve"> those with higher earning potential due to unobservable characteristics tend to invest more in their education.</w:t>
      </w:r>
      <w:r w:rsidR="009E4FC3">
        <w:rPr>
          <w:rFonts w:ascii="Times New Roman" w:hAnsi="Times New Roman"/>
          <w:sz w:val="24"/>
          <w:szCs w:val="24"/>
        </w:rPr>
        <w:t xml:space="preserve"> In this case, education ceases to be an exogenous variable (as defined earlier in this chapter)</w:t>
      </w:r>
      <w:r w:rsidR="002A45A4" w:rsidRPr="00793A4A">
        <w:rPr>
          <w:rFonts w:ascii="Times New Roman" w:hAnsi="Times New Roman"/>
          <w:sz w:val="24"/>
          <w:szCs w:val="24"/>
        </w:rPr>
        <w:t xml:space="preserve"> Consequently, the researcher ends up attributing too much of the variation in wages to the educational attainment variable as it captures some of these other unobserved differences in workers.</w:t>
      </w:r>
      <w:r w:rsidR="00570A3C">
        <w:rPr>
          <w:rFonts w:ascii="Times New Roman" w:hAnsi="Times New Roman"/>
          <w:sz w:val="24"/>
          <w:szCs w:val="24"/>
        </w:rPr>
        <w:t xml:space="preserve"> </w:t>
      </w:r>
    </w:p>
    <w:p w:rsidR="00570A3C" w:rsidRDefault="00570A3C" w:rsidP="00940760">
      <w:pPr>
        <w:spacing w:line="360" w:lineRule="auto"/>
        <w:jc w:val="both"/>
        <w:rPr>
          <w:rFonts w:ascii="Times New Roman" w:hAnsi="Times New Roman"/>
          <w:sz w:val="24"/>
          <w:szCs w:val="24"/>
        </w:rPr>
      </w:pPr>
      <w:r>
        <w:rPr>
          <w:rFonts w:ascii="Times New Roman" w:hAnsi="Times New Roman"/>
          <w:sz w:val="24"/>
          <w:szCs w:val="24"/>
        </w:rPr>
        <w:t xml:space="preserve">To illustrate, suppose there are just two levels of ability – high and low – and that education has a constant linear effect that adds to this ability and gives the individual’s final productivity (and wage). Imagine education has </w:t>
      </w:r>
      <w:r w:rsidR="00D403D4">
        <w:rPr>
          <w:rFonts w:ascii="Times New Roman" w:hAnsi="Times New Roman"/>
          <w:sz w:val="24"/>
          <w:szCs w:val="24"/>
        </w:rPr>
        <w:t xml:space="preserve">been </w:t>
      </w:r>
      <w:r>
        <w:rPr>
          <w:rFonts w:ascii="Times New Roman" w:hAnsi="Times New Roman"/>
          <w:sz w:val="24"/>
          <w:szCs w:val="24"/>
        </w:rPr>
        <w:t>randomly assigned – that is, an individual of low ability is as likely to receive a given level of education as someone of high ability. We could collect data on education and wages and</w:t>
      </w:r>
      <w:r w:rsidR="00025E3D">
        <w:rPr>
          <w:rFonts w:ascii="Times New Roman" w:hAnsi="Times New Roman"/>
          <w:sz w:val="24"/>
          <w:szCs w:val="24"/>
        </w:rPr>
        <w:t xml:space="preserve"> use a Mincerian wage equation to</w:t>
      </w:r>
      <w:r>
        <w:rPr>
          <w:rFonts w:ascii="Times New Roman" w:hAnsi="Times New Roman"/>
          <w:sz w:val="24"/>
          <w:szCs w:val="24"/>
        </w:rPr>
        <w:t xml:space="preserve"> establish the effect </w:t>
      </w:r>
      <w:r>
        <w:rPr>
          <w:rFonts w:ascii="Times New Roman" w:hAnsi="Times New Roman"/>
          <w:sz w:val="24"/>
          <w:szCs w:val="24"/>
        </w:rPr>
        <w:lastRenderedPageBreak/>
        <w:t>of education on wages, as shown in Figure 5.1 (a)</w:t>
      </w:r>
      <w:r w:rsidR="00025E3D">
        <w:rPr>
          <w:rFonts w:ascii="Times New Roman" w:hAnsi="Times New Roman"/>
          <w:sz w:val="24"/>
          <w:szCs w:val="24"/>
        </w:rPr>
        <w:t xml:space="preserve"> – notice the estimated</w:t>
      </w:r>
      <w:r w:rsidR="00234B82">
        <w:rPr>
          <w:rFonts w:ascii="Times New Roman" w:hAnsi="Times New Roman"/>
          <w:sz w:val="24"/>
          <w:szCs w:val="24"/>
        </w:rPr>
        <w:t xml:space="preserve"> (dashed)</w:t>
      </w:r>
      <w:r w:rsidR="00025E3D">
        <w:rPr>
          <w:rFonts w:ascii="Times New Roman" w:hAnsi="Times New Roman"/>
          <w:sz w:val="24"/>
          <w:szCs w:val="24"/>
        </w:rPr>
        <w:t xml:space="preserve"> line has the same slope as the true relationships.</w:t>
      </w:r>
    </w:p>
    <w:p w:rsidR="00570A3C" w:rsidRPr="00025E3D" w:rsidRDefault="00570A3C" w:rsidP="00940760">
      <w:pPr>
        <w:spacing w:line="360" w:lineRule="auto"/>
        <w:jc w:val="both"/>
        <w:rPr>
          <w:rFonts w:ascii="Times New Roman" w:hAnsi="Times New Roman"/>
          <w:i/>
          <w:sz w:val="24"/>
          <w:szCs w:val="24"/>
        </w:rPr>
      </w:pPr>
      <w:r w:rsidRPr="00025E3D">
        <w:rPr>
          <w:rFonts w:ascii="Times New Roman" w:hAnsi="Times New Roman"/>
          <w:i/>
          <w:sz w:val="24"/>
          <w:szCs w:val="24"/>
        </w:rPr>
        <w:t>Figure 5.1:</w:t>
      </w:r>
      <w:r w:rsidRPr="00025E3D">
        <w:rPr>
          <w:rFonts w:ascii="Times New Roman" w:hAnsi="Times New Roman"/>
          <w:i/>
          <w:sz w:val="24"/>
          <w:szCs w:val="24"/>
        </w:rPr>
        <w:tab/>
      </w:r>
      <w:r w:rsidR="00025E3D" w:rsidRPr="00025E3D">
        <w:rPr>
          <w:rFonts w:ascii="Times New Roman" w:hAnsi="Times New Roman"/>
          <w:i/>
          <w:sz w:val="24"/>
          <w:szCs w:val="24"/>
        </w:rPr>
        <w:t>Education, ability and wages</w:t>
      </w:r>
    </w:p>
    <w:p w:rsidR="002A45A4" w:rsidRDefault="00025E3D" w:rsidP="00940760">
      <w:pPr>
        <w:spacing w:line="360" w:lineRule="auto"/>
        <w:jc w:val="both"/>
        <w:rPr>
          <w:rFonts w:ascii="Times New Roman" w:hAnsi="Times New Roman"/>
          <w:sz w:val="24"/>
          <w:szCs w:val="24"/>
        </w:rPr>
      </w:pPr>
      <w:r>
        <w:rPr>
          <w:rFonts w:ascii="Times New Roman" w:hAnsi="Times New Roman"/>
          <w:sz w:val="24"/>
          <w:szCs w:val="24"/>
        </w:rPr>
        <w:t xml:space="preserve">However, </w:t>
      </w:r>
      <w:r w:rsidR="009E4FC3">
        <w:rPr>
          <w:rFonts w:ascii="Times New Roman" w:hAnsi="Times New Roman"/>
          <w:sz w:val="24"/>
          <w:szCs w:val="24"/>
        </w:rPr>
        <w:t xml:space="preserve">if </w:t>
      </w:r>
      <w:r>
        <w:rPr>
          <w:rFonts w:ascii="Times New Roman" w:hAnsi="Times New Roman"/>
          <w:sz w:val="24"/>
          <w:szCs w:val="24"/>
        </w:rPr>
        <w:t>higher ability individuals complete more education and training than lower ability individuals</w:t>
      </w:r>
      <w:r w:rsidR="009E4FC3">
        <w:rPr>
          <w:rFonts w:ascii="Times New Roman" w:hAnsi="Times New Roman"/>
          <w:sz w:val="24"/>
          <w:szCs w:val="24"/>
        </w:rPr>
        <w:t xml:space="preserve"> (i.e. if educational attainment is determined, at least in part, by ability), then any observational data collected would have</w:t>
      </w:r>
      <w:r>
        <w:rPr>
          <w:rFonts w:ascii="Times New Roman" w:hAnsi="Times New Roman"/>
          <w:sz w:val="24"/>
          <w:szCs w:val="24"/>
        </w:rPr>
        <w:t xml:space="preserve"> </w:t>
      </w:r>
      <w:r w:rsidR="007779DF">
        <w:rPr>
          <w:rFonts w:ascii="Times New Roman" w:hAnsi="Times New Roman"/>
          <w:sz w:val="24"/>
          <w:szCs w:val="24"/>
        </w:rPr>
        <w:t xml:space="preserve"> </w:t>
      </w:r>
      <w:r>
        <w:rPr>
          <w:rFonts w:ascii="Times New Roman" w:hAnsi="Times New Roman"/>
          <w:sz w:val="24"/>
          <w:szCs w:val="24"/>
        </w:rPr>
        <w:t xml:space="preserve">far less points in the top left and bottom right of the diagram, meaning there are just not that many high-ability, low-education or low-ability, high-education types in this labour market. Estimating a wage equation now would look like Figure 5.2(b) – the estimated line has a steeper slope than the true effect of education. </w:t>
      </w:r>
      <w:r w:rsidR="002A45A4" w:rsidRPr="00793A4A">
        <w:rPr>
          <w:rFonts w:ascii="Times New Roman" w:hAnsi="Times New Roman"/>
          <w:sz w:val="24"/>
          <w:szCs w:val="24"/>
        </w:rPr>
        <w:t>This is known in</w:t>
      </w:r>
      <w:r w:rsidR="00570A3C">
        <w:rPr>
          <w:rFonts w:ascii="Times New Roman" w:hAnsi="Times New Roman"/>
          <w:sz w:val="24"/>
          <w:szCs w:val="24"/>
        </w:rPr>
        <w:t xml:space="preserve"> the literature as ability bias</w:t>
      </w:r>
      <w:r w:rsidR="009E4FC3">
        <w:rPr>
          <w:rFonts w:ascii="Times New Roman" w:hAnsi="Times New Roman"/>
          <w:sz w:val="24"/>
          <w:szCs w:val="24"/>
        </w:rPr>
        <w:t xml:space="preserve"> and implies that the correlation between education and wages is not entirely causal</w:t>
      </w:r>
      <w:r w:rsidR="00570A3C">
        <w:rPr>
          <w:rFonts w:ascii="Times New Roman" w:hAnsi="Times New Roman"/>
          <w:sz w:val="24"/>
          <w:szCs w:val="24"/>
        </w:rPr>
        <w:t>.</w:t>
      </w:r>
      <w:r>
        <w:rPr>
          <w:rStyle w:val="FootnoteReference"/>
          <w:rFonts w:ascii="Times New Roman" w:hAnsi="Times New Roman"/>
          <w:sz w:val="24"/>
          <w:szCs w:val="24"/>
        </w:rPr>
        <w:footnoteReference w:id="11"/>
      </w:r>
      <w:r w:rsidR="00BF6082">
        <w:rPr>
          <w:rFonts w:ascii="Times New Roman" w:hAnsi="Times New Roman"/>
          <w:sz w:val="24"/>
          <w:szCs w:val="24"/>
        </w:rPr>
        <w:t xml:space="preserve"> </w:t>
      </w:r>
    </w:p>
    <w:p w:rsidR="00B67682" w:rsidRDefault="00570A3C" w:rsidP="00940760">
      <w:pPr>
        <w:spacing w:line="360" w:lineRule="auto"/>
        <w:jc w:val="both"/>
        <w:rPr>
          <w:rFonts w:ascii="Times New Roman" w:hAnsi="Times New Roman"/>
          <w:sz w:val="24"/>
          <w:szCs w:val="24"/>
        </w:rPr>
      </w:pPr>
      <w:r>
        <w:rPr>
          <w:rFonts w:ascii="Times New Roman" w:hAnsi="Times New Roman"/>
          <w:sz w:val="24"/>
          <w:szCs w:val="24"/>
        </w:rPr>
        <w:t xml:space="preserve">Card </w:t>
      </w:r>
      <w:r w:rsidR="00025E3D">
        <w:rPr>
          <w:rFonts w:ascii="Times New Roman" w:hAnsi="Times New Roman"/>
          <w:sz w:val="24"/>
          <w:szCs w:val="24"/>
        </w:rPr>
        <w:t xml:space="preserve">(1999) provides a comprehensive survey of the various techniques used to </w:t>
      </w:r>
      <w:r w:rsidR="00DB109B">
        <w:rPr>
          <w:rFonts w:ascii="Times New Roman" w:hAnsi="Times New Roman"/>
          <w:sz w:val="24"/>
          <w:szCs w:val="24"/>
        </w:rPr>
        <w:t xml:space="preserve">deal with this issue. There are </w:t>
      </w:r>
      <w:r w:rsidR="006B56DB">
        <w:rPr>
          <w:rFonts w:ascii="Times New Roman" w:hAnsi="Times New Roman"/>
          <w:sz w:val="24"/>
          <w:szCs w:val="24"/>
        </w:rPr>
        <w:t>a number of</w:t>
      </w:r>
      <w:r w:rsidR="00DB109B">
        <w:rPr>
          <w:rFonts w:ascii="Times New Roman" w:hAnsi="Times New Roman"/>
          <w:sz w:val="24"/>
          <w:szCs w:val="24"/>
        </w:rPr>
        <w:t xml:space="preserve"> approaches that have been used</w:t>
      </w:r>
      <w:r w:rsidR="00DE0EF1">
        <w:rPr>
          <w:rFonts w:ascii="Times New Roman" w:hAnsi="Times New Roman"/>
          <w:sz w:val="24"/>
          <w:szCs w:val="24"/>
        </w:rPr>
        <w:t xml:space="preserve">, for example </w:t>
      </w:r>
      <w:r w:rsidR="00DB109B">
        <w:rPr>
          <w:rFonts w:ascii="Times New Roman" w:hAnsi="Times New Roman"/>
          <w:sz w:val="24"/>
          <w:szCs w:val="24"/>
        </w:rPr>
        <w:t>twin studies</w:t>
      </w:r>
      <w:r w:rsidR="006B56DB">
        <w:rPr>
          <w:rFonts w:ascii="Times New Roman" w:hAnsi="Times New Roman"/>
          <w:sz w:val="24"/>
          <w:szCs w:val="24"/>
        </w:rPr>
        <w:t xml:space="preserve"> (e.g. </w:t>
      </w:r>
      <w:r w:rsidR="00DE177C">
        <w:rPr>
          <w:rFonts w:ascii="Times New Roman" w:hAnsi="Times New Roman"/>
          <w:sz w:val="24"/>
          <w:szCs w:val="24"/>
        </w:rPr>
        <w:t>Ashenfelter and Krueger, 1994</w:t>
      </w:r>
      <w:r w:rsidR="006B56DB">
        <w:rPr>
          <w:rFonts w:ascii="Times New Roman" w:hAnsi="Times New Roman"/>
          <w:sz w:val="24"/>
          <w:szCs w:val="24"/>
        </w:rPr>
        <w:t>)</w:t>
      </w:r>
      <w:r w:rsidR="005369A5">
        <w:rPr>
          <w:rFonts w:ascii="Times New Roman" w:hAnsi="Times New Roman"/>
          <w:sz w:val="24"/>
          <w:szCs w:val="24"/>
        </w:rPr>
        <w:t>, instrumental variables</w:t>
      </w:r>
      <w:r w:rsidR="006B56DB">
        <w:rPr>
          <w:rFonts w:ascii="Times New Roman" w:hAnsi="Times New Roman"/>
          <w:sz w:val="24"/>
          <w:szCs w:val="24"/>
        </w:rPr>
        <w:t xml:space="preserve"> (e.g. </w:t>
      </w:r>
      <w:r w:rsidR="00DE0EF1">
        <w:rPr>
          <w:rFonts w:ascii="Times New Roman" w:hAnsi="Times New Roman"/>
          <w:sz w:val="24"/>
          <w:szCs w:val="24"/>
        </w:rPr>
        <w:t>Angrist and Krueger, 199</w:t>
      </w:r>
      <w:r w:rsidR="00B63D96">
        <w:rPr>
          <w:rFonts w:ascii="Times New Roman" w:hAnsi="Times New Roman"/>
          <w:sz w:val="24"/>
          <w:szCs w:val="24"/>
        </w:rPr>
        <w:t>1</w:t>
      </w:r>
      <w:r w:rsidR="00DE0EF1">
        <w:rPr>
          <w:rFonts w:ascii="Times New Roman" w:hAnsi="Times New Roman"/>
          <w:sz w:val="24"/>
          <w:szCs w:val="24"/>
        </w:rPr>
        <w:t>;</w:t>
      </w:r>
      <w:r w:rsidR="00B63D96">
        <w:rPr>
          <w:rFonts w:ascii="Times New Roman" w:hAnsi="Times New Roman"/>
          <w:sz w:val="24"/>
          <w:szCs w:val="24"/>
        </w:rPr>
        <w:t xml:space="preserve"> Card, 199</w:t>
      </w:r>
      <w:r w:rsidR="00DA5250">
        <w:rPr>
          <w:rFonts w:ascii="Times New Roman" w:hAnsi="Times New Roman"/>
          <w:sz w:val="24"/>
          <w:szCs w:val="24"/>
        </w:rPr>
        <w:t>3</w:t>
      </w:r>
      <w:r w:rsidR="00B63D96">
        <w:rPr>
          <w:rFonts w:ascii="Times New Roman" w:hAnsi="Times New Roman"/>
          <w:sz w:val="24"/>
          <w:szCs w:val="24"/>
        </w:rPr>
        <w:t xml:space="preserve">; </w:t>
      </w:r>
      <w:r w:rsidR="00DE0EF1">
        <w:rPr>
          <w:rFonts w:ascii="Times New Roman" w:hAnsi="Times New Roman"/>
          <w:sz w:val="24"/>
          <w:szCs w:val="24"/>
        </w:rPr>
        <w:t>Harmon and Walker, 1995</w:t>
      </w:r>
      <w:r w:rsidR="006B56DB">
        <w:rPr>
          <w:rFonts w:ascii="Times New Roman" w:hAnsi="Times New Roman"/>
          <w:sz w:val="24"/>
          <w:szCs w:val="24"/>
        </w:rPr>
        <w:t>)</w:t>
      </w:r>
      <w:r w:rsidR="005369A5">
        <w:rPr>
          <w:rFonts w:ascii="Times New Roman" w:hAnsi="Times New Roman"/>
          <w:sz w:val="24"/>
          <w:szCs w:val="24"/>
        </w:rPr>
        <w:t xml:space="preserve"> and natural experiments</w:t>
      </w:r>
      <w:r w:rsidR="006B56DB" w:rsidRPr="004043A7">
        <w:rPr>
          <w:rFonts w:ascii="Times New Roman" w:hAnsi="Times New Roman"/>
          <w:sz w:val="24"/>
          <w:szCs w:val="24"/>
        </w:rPr>
        <w:t>.</w:t>
      </w:r>
      <w:r w:rsidR="004043A7">
        <w:rPr>
          <w:rFonts w:ascii="Times New Roman" w:hAnsi="Times New Roman"/>
          <w:sz w:val="24"/>
          <w:szCs w:val="24"/>
        </w:rPr>
        <w:t xml:space="preserve"> </w:t>
      </w:r>
      <w:r w:rsidR="00D403D4">
        <w:rPr>
          <w:rFonts w:ascii="Times New Roman" w:hAnsi="Times New Roman"/>
          <w:sz w:val="24"/>
          <w:szCs w:val="24"/>
        </w:rPr>
        <w:t>W</w:t>
      </w:r>
      <w:r w:rsidR="006B56DB">
        <w:rPr>
          <w:rFonts w:ascii="Times New Roman" w:hAnsi="Times New Roman"/>
          <w:sz w:val="24"/>
          <w:szCs w:val="24"/>
        </w:rPr>
        <w:t xml:space="preserve">hat Card’s review suggests is that evidence from twin studies and instrumental variable estimates – which attempt to exploit a source of exogenous variation in schooling that is plausibly unconnected to ability to find the effect on earnings – is that estimates of wage premia are not very different from those found in simple OLS, and in </w:t>
      </w:r>
      <w:r w:rsidR="00DE0EF1">
        <w:rPr>
          <w:rFonts w:ascii="Times New Roman" w:hAnsi="Times New Roman"/>
          <w:sz w:val="24"/>
          <w:szCs w:val="24"/>
        </w:rPr>
        <w:t>many cases are actua</w:t>
      </w:r>
      <w:r w:rsidR="004043A7">
        <w:rPr>
          <w:rFonts w:ascii="Times New Roman" w:hAnsi="Times New Roman"/>
          <w:sz w:val="24"/>
          <w:szCs w:val="24"/>
        </w:rPr>
        <w:t>lly larger. However, there are many studies which would imply the ability bias is large</w:t>
      </w:r>
      <w:r w:rsidR="00DE0EF1">
        <w:rPr>
          <w:rFonts w:ascii="Times New Roman" w:hAnsi="Times New Roman"/>
          <w:sz w:val="24"/>
          <w:szCs w:val="24"/>
        </w:rPr>
        <w:t>. For example,</w:t>
      </w:r>
      <w:r w:rsidR="006B56DB">
        <w:rPr>
          <w:rFonts w:ascii="Times New Roman" w:hAnsi="Times New Roman"/>
          <w:sz w:val="24"/>
          <w:szCs w:val="24"/>
        </w:rPr>
        <w:t xml:space="preserve"> studies which include measures of prior ability have shown significant drops in the estimated effect of educ</w:t>
      </w:r>
      <w:r w:rsidR="00DE0EF1">
        <w:rPr>
          <w:rFonts w:ascii="Times New Roman" w:hAnsi="Times New Roman"/>
          <w:sz w:val="24"/>
          <w:szCs w:val="24"/>
        </w:rPr>
        <w:t>ation and training on earnings. (Blackburn and Neumark, 1995; Blundell et al, 2000).</w:t>
      </w:r>
      <w:r w:rsidR="004043A7">
        <w:rPr>
          <w:rFonts w:ascii="Times New Roman" w:hAnsi="Times New Roman"/>
          <w:sz w:val="24"/>
          <w:szCs w:val="24"/>
        </w:rPr>
        <w:t xml:space="preserve"> Natural experiments around the effect of military service drafts or compulsory education laws show mixed results. </w:t>
      </w:r>
      <w:r w:rsidR="00B67682">
        <w:rPr>
          <w:rFonts w:ascii="Times New Roman" w:hAnsi="Times New Roman"/>
          <w:sz w:val="24"/>
          <w:szCs w:val="24"/>
        </w:rPr>
        <w:t xml:space="preserve">Angrist </w:t>
      </w:r>
      <w:r w:rsidR="00B67682">
        <w:rPr>
          <w:rFonts w:ascii="Times New Roman" w:hAnsi="Times New Roman"/>
          <w:sz w:val="24"/>
          <w:szCs w:val="24"/>
        </w:rPr>
        <w:lastRenderedPageBreak/>
        <w:t>and Krueger (1992) find large returns to education resulting from increased participation in education to delay Vietnam military service in the US</w:t>
      </w:r>
      <w:r w:rsidR="00494364">
        <w:rPr>
          <w:rFonts w:ascii="Times New Roman" w:hAnsi="Times New Roman"/>
          <w:sz w:val="24"/>
          <w:szCs w:val="24"/>
        </w:rPr>
        <w:t>; however</w:t>
      </w:r>
      <w:r w:rsidR="00B67682">
        <w:rPr>
          <w:rFonts w:ascii="Times New Roman" w:hAnsi="Times New Roman"/>
          <w:sz w:val="24"/>
          <w:szCs w:val="24"/>
        </w:rPr>
        <w:t xml:space="preserve"> Mouganie (2014) does not find such effects </w:t>
      </w:r>
      <w:r w:rsidR="00494364">
        <w:rPr>
          <w:rFonts w:ascii="Times New Roman" w:hAnsi="Times New Roman"/>
          <w:sz w:val="24"/>
          <w:szCs w:val="24"/>
        </w:rPr>
        <w:t>for</w:t>
      </w:r>
      <w:r w:rsidR="00B67682">
        <w:rPr>
          <w:rFonts w:ascii="Times New Roman" w:hAnsi="Times New Roman"/>
          <w:sz w:val="24"/>
          <w:szCs w:val="24"/>
        </w:rPr>
        <w:t xml:space="preserve"> peacetime conscription in France. Oreopolous (2006) analysed the students affected by the 1947 change in the age of compulsory education in the UK from 14 to 15 and finds a large return to the additional year</w:t>
      </w:r>
      <w:r w:rsidR="006941AC">
        <w:rPr>
          <w:rFonts w:ascii="Times New Roman" w:hAnsi="Times New Roman"/>
          <w:sz w:val="24"/>
          <w:szCs w:val="24"/>
        </w:rPr>
        <w:t xml:space="preserve"> of schooling possessed by students just after the law was introduced. However, Devereux and Hart (2010) found errors in this study, and using alternative data find a very small effect. This finding is consistent with other studies of similar law changes elsewhere, such as in Germany (Pischke and von Wachter, 2008). </w:t>
      </w:r>
    </w:p>
    <w:p w:rsidR="00DB109B" w:rsidRPr="005112EA" w:rsidRDefault="00DE0EF1" w:rsidP="00940760">
      <w:pPr>
        <w:spacing w:line="360" w:lineRule="auto"/>
        <w:jc w:val="both"/>
        <w:rPr>
          <w:rFonts w:ascii="Times New Roman" w:hAnsi="Times New Roman"/>
          <w:i/>
          <w:sz w:val="24"/>
          <w:szCs w:val="24"/>
        </w:rPr>
      </w:pPr>
      <w:r>
        <w:rPr>
          <w:rFonts w:ascii="Times New Roman" w:hAnsi="Times New Roman"/>
          <w:sz w:val="24"/>
          <w:szCs w:val="24"/>
        </w:rPr>
        <w:t xml:space="preserve"> </w:t>
      </w:r>
      <w:r w:rsidR="005112EA" w:rsidRPr="005112EA">
        <w:rPr>
          <w:rFonts w:ascii="Times New Roman" w:hAnsi="Times New Roman"/>
          <w:i/>
          <w:sz w:val="24"/>
          <w:szCs w:val="24"/>
        </w:rPr>
        <w:t>5.2</w:t>
      </w:r>
      <w:r w:rsidR="005112EA" w:rsidRPr="005112EA">
        <w:rPr>
          <w:rFonts w:ascii="Times New Roman" w:hAnsi="Times New Roman"/>
          <w:i/>
          <w:sz w:val="24"/>
          <w:szCs w:val="24"/>
        </w:rPr>
        <w:tab/>
        <w:t>Signalling and screening</w:t>
      </w:r>
    </w:p>
    <w:p w:rsidR="00A922C4" w:rsidRDefault="005112EA" w:rsidP="00940760">
      <w:pPr>
        <w:spacing w:line="360" w:lineRule="auto"/>
        <w:jc w:val="both"/>
        <w:rPr>
          <w:rFonts w:ascii="Times New Roman" w:hAnsi="Times New Roman"/>
          <w:sz w:val="24"/>
          <w:szCs w:val="24"/>
        </w:rPr>
      </w:pPr>
      <w:r>
        <w:rPr>
          <w:rFonts w:ascii="Times New Roman" w:hAnsi="Times New Roman"/>
          <w:sz w:val="24"/>
          <w:szCs w:val="24"/>
        </w:rPr>
        <w:t>The ability bias problem is often conflated with a similar sounding but ultimately separate issue – that education is a signal, rather than a determinant, of an individual’s productive potential. In both cases, individuals may differ in their innate talents and abilities. In the problem discussed in section 5.1, employers are assumed to be rewarding these abilities with higher pay although the econom</w:t>
      </w:r>
      <w:r w:rsidR="002F3832">
        <w:rPr>
          <w:rFonts w:ascii="Times New Roman" w:hAnsi="Times New Roman"/>
          <w:sz w:val="24"/>
          <w:szCs w:val="24"/>
        </w:rPr>
        <w:t>etrician</w:t>
      </w:r>
      <w:r>
        <w:rPr>
          <w:rFonts w:ascii="Times New Roman" w:hAnsi="Times New Roman"/>
          <w:sz w:val="24"/>
          <w:szCs w:val="24"/>
        </w:rPr>
        <w:t xml:space="preserve"> running a wage regression does not see </w:t>
      </w:r>
      <w:r w:rsidR="00A922C4">
        <w:rPr>
          <w:rFonts w:ascii="Times New Roman" w:hAnsi="Times New Roman"/>
          <w:sz w:val="24"/>
          <w:szCs w:val="24"/>
        </w:rPr>
        <w:t xml:space="preserve">this, and ends up predicting too high a return for human capital investments. </w:t>
      </w:r>
      <w:r w:rsidR="002A45A4" w:rsidRPr="00793A4A">
        <w:rPr>
          <w:rFonts w:ascii="Times New Roman" w:hAnsi="Times New Roman"/>
          <w:sz w:val="24"/>
          <w:szCs w:val="24"/>
        </w:rPr>
        <w:t xml:space="preserve">It is also possible that employers are not better at discerning the unobservable productivity differences than econometricians are. In this case, more able individuals would want to signal their superior abilities to prospective employers – if they did not, they would end up being paid less than their productivity would </w:t>
      </w:r>
      <w:r w:rsidR="00565B20">
        <w:rPr>
          <w:rFonts w:ascii="Times New Roman" w:hAnsi="Times New Roman"/>
          <w:sz w:val="24"/>
          <w:szCs w:val="24"/>
        </w:rPr>
        <w:t>deserve</w:t>
      </w:r>
      <w:r w:rsidR="002A45A4" w:rsidRPr="00793A4A">
        <w:rPr>
          <w:rFonts w:ascii="Times New Roman" w:hAnsi="Times New Roman"/>
          <w:sz w:val="24"/>
          <w:szCs w:val="24"/>
        </w:rPr>
        <w:t>. Educati</w:t>
      </w:r>
      <w:r w:rsidR="00A922C4">
        <w:rPr>
          <w:rFonts w:ascii="Times New Roman" w:hAnsi="Times New Roman"/>
          <w:sz w:val="24"/>
          <w:szCs w:val="24"/>
        </w:rPr>
        <w:t>on and training may serve this signalling</w:t>
      </w:r>
      <w:r w:rsidR="00AB050F">
        <w:rPr>
          <w:rFonts w:ascii="Times New Roman" w:hAnsi="Times New Roman"/>
          <w:sz w:val="24"/>
          <w:szCs w:val="24"/>
        </w:rPr>
        <w:t xml:space="preserve"> role (Spence, 1973</w:t>
      </w:r>
      <w:r w:rsidR="002A45A4" w:rsidRPr="00793A4A">
        <w:rPr>
          <w:rFonts w:ascii="Times New Roman" w:hAnsi="Times New Roman"/>
          <w:sz w:val="24"/>
          <w:szCs w:val="24"/>
        </w:rPr>
        <w:t>), as</w:t>
      </w:r>
      <w:r w:rsidR="00A922C4">
        <w:rPr>
          <w:rFonts w:ascii="Times New Roman" w:hAnsi="Times New Roman"/>
          <w:sz w:val="24"/>
          <w:szCs w:val="24"/>
        </w:rPr>
        <w:t xml:space="preserve">suming that the </w:t>
      </w:r>
      <w:r w:rsidR="002A45A4" w:rsidRPr="00793A4A">
        <w:rPr>
          <w:rFonts w:ascii="Times New Roman" w:hAnsi="Times New Roman"/>
          <w:sz w:val="24"/>
          <w:szCs w:val="24"/>
        </w:rPr>
        <w:t>effort</w:t>
      </w:r>
      <w:r w:rsidR="00A922C4">
        <w:rPr>
          <w:rFonts w:ascii="Times New Roman" w:hAnsi="Times New Roman"/>
          <w:sz w:val="24"/>
          <w:szCs w:val="24"/>
        </w:rPr>
        <w:t xml:space="preserve"> and time-cost</w:t>
      </w:r>
      <w:r w:rsidR="002A45A4" w:rsidRPr="00793A4A">
        <w:rPr>
          <w:rFonts w:ascii="Times New Roman" w:hAnsi="Times New Roman"/>
          <w:sz w:val="24"/>
          <w:szCs w:val="24"/>
        </w:rPr>
        <w:t xml:space="preserve"> required to reach a certain level of educational attainment is greater for less able workers. In this case, more able workers might be able to pursue educati</w:t>
      </w:r>
      <w:r w:rsidR="00EA1D75">
        <w:rPr>
          <w:rFonts w:ascii="Times New Roman" w:hAnsi="Times New Roman"/>
          <w:sz w:val="24"/>
          <w:szCs w:val="24"/>
        </w:rPr>
        <w:t>on that others would not find</w:t>
      </w:r>
      <w:r w:rsidR="002A45A4" w:rsidRPr="00793A4A">
        <w:rPr>
          <w:rFonts w:ascii="Times New Roman" w:hAnsi="Times New Roman"/>
          <w:sz w:val="24"/>
          <w:szCs w:val="24"/>
        </w:rPr>
        <w:t xml:space="preserve"> worthwhile (given the higher costs of completion) imitating. If employers recognise this signal, they would then increase pay to those completing higher levels of education and training. In the educational signalling model,</w:t>
      </w:r>
      <w:r w:rsidR="00A922C4">
        <w:rPr>
          <w:rFonts w:ascii="Times New Roman" w:hAnsi="Times New Roman"/>
          <w:sz w:val="24"/>
          <w:szCs w:val="24"/>
        </w:rPr>
        <w:t xml:space="preserve"> </w:t>
      </w:r>
      <w:r w:rsidR="002A45A4" w:rsidRPr="00793A4A">
        <w:rPr>
          <w:rFonts w:ascii="Times New Roman" w:hAnsi="Times New Roman"/>
          <w:sz w:val="24"/>
          <w:szCs w:val="24"/>
        </w:rPr>
        <w:t xml:space="preserve">acquiring more education has a causal impact on wages (those with the signal get paid more) but not as much of a causal impact on productivity, which is still, at least in part, dictated by the initial set of talents and abilities. </w:t>
      </w:r>
    </w:p>
    <w:p w:rsidR="002A45A4" w:rsidRDefault="00A922C4" w:rsidP="00940760">
      <w:pPr>
        <w:spacing w:line="360" w:lineRule="auto"/>
        <w:jc w:val="both"/>
        <w:rPr>
          <w:rFonts w:ascii="Times New Roman" w:hAnsi="Times New Roman"/>
          <w:sz w:val="24"/>
          <w:szCs w:val="24"/>
        </w:rPr>
      </w:pPr>
      <w:r>
        <w:rPr>
          <w:rFonts w:ascii="Times New Roman" w:hAnsi="Times New Roman"/>
          <w:sz w:val="24"/>
          <w:szCs w:val="24"/>
        </w:rPr>
        <w:t>As a result</w:t>
      </w:r>
      <w:r w:rsidR="002A45A4" w:rsidRPr="00793A4A">
        <w:rPr>
          <w:rFonts w:ascii="Times New Roman" w:hAnsi="Times New Roman"/>
          <w:sz w:val="24"/>
          <w:szCs w:val="24"/>
        </w:rPr>
        <w:t xml:space="preserve">, many of the approaches to deal with ability bias do not help distinguish between signalling and human capital explanations of wage premia to education and training. </w:t>
      </w:r>
      <w:r>
        <w:rPr>
          <w:rFonts w:ascii="Times New Roman" w:hAnsi="Times New Roman"/>
          <w:sz w:val="24"/>
          <w:szCs w:val="24"/>
        </w:rPr>
        <w:t xml:space="preserve">For example, if two twins acquire different levels of education, they will experience different wages in the signalling model, even though they have the same natural ability. The twin with more education will be paid the average productivity of his group, which on average contains more high ability individuals. The signalling model would suggest that one of the twins made a </w:t>
      </w:r>
      <w:r>
        <w:rPr>
          <w:rFonts w:ascii="Times New Roman" w:hAnsi="Times New Roman"/>
          <w:sz w:val="24"/>
          <w:szCs w:val="24"/>
        </w:rPr>
        <w:lastRenderedPageBreak/>
        <w:t>mistake – either the more educated one acquired a signal that was too costly for him, given the rewards or the other twin failed to acquire a signal that would have given them more benefits than its cost – but that is irrelevant for the final distribution of wages.</w:t>
      </w:r>
    </w:p>
    <w:p w:rsidR="00A922C4" w:rsidRDefault="00A922C4" w:rsidP="00940760">
      <w:pPr>
        <w:spacing w:line="360" w:lineRule="auto"/>
        <w:jc w:val="both"/>
        <w:rPr>
          <w:rFonts w:ascii="Times New Roman" w:hAnsi="Times New Roman"/>
          <w:sz w:val="24"/>
          <w:szCs w:val="24"/>
        </w:rPr>
      </w:pPr>
      <w:r>
        <w:rPr>
          <w:rFonts w:ascii="Times New Roman" w:hAnsi="Times New Roman"/>
          <w:sz w:val="24"/>
          <w:szCs w:val="24"/>
        </w:rPr>
        <w:t xml:space="preserve">Similarly, proxying for ability makes no difference on the estimated return to education if employers are unable to see those same test scores. Instead, they base their wages on the signal presented to them at the point of recruitment. Moreover, the </w:t>
      </w:r>
      <w:r w:rsidR="000E59F4">
        <w:rPr>
          <w:rFonts w:ascii="Times New Roman" w:hAnsi="Times New Roman"/>
          <w:sz w:val="24"/>
          <w:szCs w:val="24"/>
        </w:rPr>
        <w:t xml:space="preserve">simplest version </w:t>
      </w:r>
      <w:r w:rsidR="00565B20">
        <w:rPr>
          <w:rFonts w:ascii="Times New Roman" w:hAnsi="Times New Roman"/>
          <w:sz w:val="24"/>
          <w:szCs w:val="24"/>
        </w:rPr>
        <w:t xml:space="preserve">of the </w:t>
      </w:r>
      <w:r>
        <w:rPr>
          <w:rFonts w:ascii="Times New Roman" w:hAnsi="Times New Roman"/>
          <w:sz w:val="24"/>
          <w:szCs w:val="24"/>
        </w:rPr>
        <w:t xml:space="preserve">signalling model implies that employers have no incentive to seek out more information unless </w:t>
      </w:r>
      <w:r w:rsidR="000E59F4">
        <w:rPr>
          <w:rFonts w:ascii="Times New Roman" w:hAnsi="Times New Roman"/>
          <w:sz w:val="24"/>
          <w:szCs w:val="24"/>
        </w:rPr>
        <w:t>it is free, as wages adjust to reflect the average ability of the groups possessing the signal.</w:t>
      </w:r>
      <w:r w:rsidR="000E59F4">
        <w:rPr>
          <w:rStyle w:val="FootnoteReference"/>
          <w:rFonts w:ascii="Times New Roman" w:hAnsi="Times New Roman"/>
          <w:sz w:val="24"/>
          <w:szCs w:val="24"/>
        </w:rPr>
        <w:footnoteReference w:id="12"/>
      </w:r>
    </w:p>
    <w:p w:rsidR="00BB627A" w:rsidRPr="00793A4A" w:rsidRDefault="00BB627A" w:rsidP="00BB627A">
      <w:pPr>
        <w:spacing w:line="360" w:lineRule="auto"/>
        <w:jc w:val="both"/>
        <w:rPr>
          <w:rFonts w:ascii="Times New Roman" w:hAnsi="Times New Roman"/>
          <w:b/>
          <w:sz w:val="24"/>
          <w:szCs w:val="24"/>
        </w:rPr>
      </w:pPr>
      <w:r w:rsidRPr="00793A4A">
        <w:rPr>
          <w:rFonts w:ascii="Times New Roman" w:hAnsi="Times New Roman"/>
          <w:b/>
          <w:sz w:val="24"/>
          <w:szCs w:val="24"/>
        </w:rPr>
        <w:t>The distribution of returns</w:t>
      </w:r>
    </w:p>
    <w:p w:rsidR="00153EA4" w:rsidRPr="00153EA4" w:rsidRDefault="002A45A4" w:rsidP="00153EA4">
      <w:pPr>
        <w:spacing w:line="360" w:lineRule="auto"/>
        <w:jc w:val="both"/>
        <w:rPr>
          <w:rFonts w:ascii="Times New Roman" w:hAnsi="Times New Roman"/>
          <w:sz w:val="24"/>
          <w:szCs w:val="24"/>
        </w:rPr>
      </w:pPr>
      <w:r w:rsidRPr="00793A4A">
        <w:rPr>
          <w:rFonts w:ascii="Times New Roman" w:hAnsi="Times New Roman"/>
          <w:sz w:val="24"/>
          <w:szCs w:val="24"/>
        </w:rPr>
        <w:t>Much of the debate around the returns to skills, education and training has centred on the competing ideas of the human capital and the signalling model</w:t>
      </w:r>
      <w:r w:rsidR="00BB627A">
        <w:rPr>
          <w:rFonts w:ascii="Times New Roman" w:hAnsi="Times New Roman"/>
          <w:sz w:val="24"/>
          <w:szCs w:val="24"/>
        </w:rPr>
        <w:t xml:space="preserve"> discussed in the last sub-section</w:t>
      </w:r>
      <w:r w:rsidRPr="00793A4A">
        <w:rPr>
          <w:rFonts w:ascii="Times New Roman" w:hAnsi="Times New Roman"/>
          <w:sz w:val="24"/>
          <w:szCs w:val="24"/>
        </w:rPr>
        <w:t xml:space="preserve"> (see, for example, </w:t>
      </w:r>
      <w:r w:rsidR="006941AC">
        <w:rPr>
          <w:rFonts w:ascii="Times New Roman" w:hAnsi="Times New Roman"/>
          <w:sz w:val="24"/>
          <w:szCs w:val="24"/>
        </w:rPr>
        <w:t>Chevalier et al, 2004</w:t>
      </w:r>
      <w:r w:rsidRPr="00793A4A">
        <w:rPr>
          <w:rFonts w:ascii="Times New Roman" w:hAnsi="Times New Roman"/>
          <w:sz w:val="24"/>
          <w:szCs w:val="24"/>
        </w:rPr>
        <w:t xml:space="preserve">). </w:t>
      </w:r>
      <w:r w:rsidR="00413AE9">
        <w:rPr>
          <w:rFonts w:ascii="Times New Roman" w:hAnsi="Times New Roman"/>
          <w:sz w:val="24"/>
          <w:szCs w:val="24"/>
        </w:rPr>
        <w:t>However, b</w:t>
      </w:r>
      <w:r w:rsidRPr="00793A4A">
        <w:rPr>
          <w:rFonts w:ascii="Times New Roman" w:hAnsi="Times New Roman"/>
          <w:sz w:val="24"/>
          <w:szCs w:val="24"/>
        </w:rPr>
        <w:t xml:space="preserve">oth of these theories </w:t>
      </w:r>
      <w:r w:rsidR="00413AE9">
        <w:rPr>
          <w:rFonts w:ascii="Times New Roman" w:hAnsi="Times New Roman"/>
          <w:sz w:val="24"/>
          <w:szCs w:val="24"/>
        </w:rPr>
        <w:t>are concerned with what is happening on</w:t>
      </w:r>
      <w:r w:rsidRPr="00793A4A">
        <w:rPr>
          <w:rFonts w:ascii="Times New Roman" w:hAnsi="Times New Roman"/>
          <w:sz w:val="24"/>
          <w:szCs w:val="24"/>
        </w:rPr>
        <w:t xml:space="preserve"> the supply side of the labour market</w:t>
      </w:r>
      <w:r w:rsidR="00413AE9">
        <w:rPr>
          <w:rFonts w:ascii="Times New Roman" w:hAnsi="Times New Roman"/>
          <w:sz w:val="24"/>
          <w:szCs w:val="24"/>
        </w:rPr>
        <w:t xml:space="preserve"> to determine wages </w:t>
      </w:r>
      <w:r w:rsidRPr="00793A4A">
        <w:rPr>
          <w:rFonts w:ascii="Times New Roman" w:hAnsi="Times New Roman"/>
          <w:sz w:val="24"/>
          <w:szCs w:val="24"/>
        </w:rPr>
        <w:t>– individual marginal productivity, whether determined by skill investment, prior ability or a combination of the two, is key.</w:t>
      </w:r>
      <w:r w:rsidR="00494364">
        <w:rPr>
          <w:rFonts w:ascii="Times New Roman" w:hAnsi="Times New Roman"/>
          <w:sz w:val="24"/>
          <w:szCs w:val="24"/>
        </w:rPr>
        <w:t xml:space="preserve"> </w:t>
      </w:r>
      <w:r w:rsidR="004958C3">
        <w:rPr>
          <w:rFonts w:ascii="Times New Roman" w:hAnsi="Times New Roman"/>
          <w:sz w:val="24"/>
          <w:szCs w:val="24"/>
        </w:rPr>
        <w:t>This tends to mean less attention is placed on the d</w:t>
      </w:r>
      <w:r w:rsidR="00153EA4">
        <w:rPr>
          <w:rFonts w:ascii="Times New Roman" w:hAnsi="Times New Roman"/>
          <w:sz w:val="24"/>
          <w:szCs w:val="24"/>
        </w:rPr>
        <w:t>emand for skills</w:t>
      </w:r>
      <w:r w:rsidR="00494364">
        <w:rPr>
          <w:rFonts w:ascii="Times New Roman" w:hAnsi="Times New Roman"/>
          <w:sz w:val="24"/>
          <w:szCs w:val="24"/>
        </w:rPr>
        <w:t>. As</w:t>
      </w:r>
      <w:r w:rsidR="00153EA4">
        <w:rPr>
          <w:rFonts w:ascii="Times New Roman" w:hAnsi="Times New Roman"/>
          <w:sz w:val="24"/>
          <w:szCs w:val="24"/>
        </w:rPr>
        <w:t xml:space="preserve"> Rubery (2006</w:t>
      </w:r>
      <w:r w:rsidR="00153EA4" w:rsidRPr="00153EA4">
        <w:rPr>
          <w:rFonts w:ascii="Times New Roman" w:hAnsi="Times New Roman"/>
          <w:sz w:val="24"/>
          <w:szCs w:val="24"/>
        </w:rPr>
        <w:t>) argues:</w:t>
      </w:r>
    </w:p>
    <w:p w:rsidR="00153EA4" w:rsidRDefault="00153EA4" w:rsidP="00153EA4">
      <w:pPr>
        <w:spacing w:line="360" w:lineRule="auto"/>
        <w:ind w:left="720"/>
        <w:jc w:val="both"/>
        <w:rPr>
          <w:rFonts w:ascii="Times New Roman" w:hAnsi="Times New Roman"/>
          <w:sz w:val="24"/>
          <w:szCs w:val="24"/>
        </w:rPr>
      </w:pPr>
      <w:r w:rsidRPr="00153EA4">
        <w:rPr>
          <w:rFonts w:ascii="Times New Roman" w:hAnsi="Times New Roman"/>
          <w:sz w:val="24"/>
          <w:szCs w:val="24"/>
        </w:rPr>
        <w:t>"[H]uman capital theory provided a much more benign interpretation of the role of employers in shaping labour market outcomes; it placed the responsibility firmly back on the individual to develop their skills and productivity, with the apparent prospect that organisations would smoothly adjust their employment systems to utilise all new potential productivity on the labour market."</w:t>
      </w:r>
    </w:p>
    <w:p w:rsidR="00153EA4" w:rsidRDefault="00153EA4" w:rsidP="00153EA4">
      <w:pPr>
        <w:spacing w:line="360" w:lineRule="auto"/>
        <w:jc w:val="both"/>
        <w:rPr>
          <w:rFonts w:ascii="Times New Roman" w:hAnsi="Times New Roman"/>
          <w:sz w:val="24"/>
          <w:szCs w:val="24"/>
        </w:rPr>
      </w:pPr>
    </w:p>
    <w:p w:rsidR="002A45A4" w:rsidRDefault="00153EA4" w:rsidP="00153EA4">
      <w:pPr>
        <w:spacing w:line="360" w:lineRule="auto"/>
        <w:jc w:val="both"/>
        <w:rPr>
          <w:rFonts w:ascii="Times New Roman" w:hAnsi="Times New Roman"/>
          <w:sz w:val="24"/>
          <w:szCs w:val="24"/>
        </w:rPr>
      </w:pPr>
      <w:r>
        <w:rPr>
          <w:rFonts w:ascii="Times New Roman" w:hAnsi="Times New Roman"/>
          <w:sz w:val="24"/>
          <w:szCs w:val="24"/>
        </w:rPr>
        <w:t xml:space="preserve">However, </w:t>
      </w:r>
      <w:r w:rsidR="002A45A4" w:rsidRPr="00793A4A">
        <w:rPr>
          <w:rFonts w:ascii="Times New Roman" w:hAnsi="Times New Roman"/>
          <w:sz w:val="24"/>
          <w:szCs w:val="24"/>
        </w:rPr>
        <w:t xml:space="preserve">firms and employers </w:t>
      </w:r>
      <w:r w:rsidR="004958C3">
        <w:rPr>
          <w:rFonts w:ascii="Times New Roman" w:hAnsi="Times New Roman"/>
          <w:sz w:val="24"/>
          <w:szCs w:val="24"/>
        </w:rPr>
        <w:t xml:space="preserve">can </w:t>
      </w:r>
      <w:r w:rsidR="00E649DE">
        <w:rPr>
          <w:rFonts w:ascii="Times New Roman" w:hAnsi="Times New Roman"/>
          <w:sz w:val="24"/>
          <w:szCs w:val="24"/>
        </w:rPr>
        <w:t>affect the</w:t>
      </w:r>
      <w:r w:rsidR="002A45A4" w:rsidRPr="00793A4A">
        <w:rPr>
          <w:rFonts w:ascii="Times New Roman" w:hAnsi="Times New Roman"/>
          <w:sz w:val="24"/>
          <w:szCs w:val="24"/>
        </w:rPr>
        <w:t xml:space="preserve"> productivity</w:t>
      </w:r>
      <w:r w:rsidR="004958C3">
        <w:rPr>
          <w:rFonts w:ascii="Times New Roman" w:hAnsi="Times New Roman"/>
          <w:sz w:val="24"/>
          <w:szCs w:val="24"/>
        </w:rPr>
        <w:t xml:space="preserve"> </w:t>
      </w:r>
      <w:r w:rsidR="00BB627A">
        <w:rPr>
          <w:rFonts w:ascii="Times New Roman" w:hAnsi="Times New Roman"/>
          <w:sz w:val="24"/>
          <w:szCs w:val="24"/>
        </w:rPr>
        <w:t>of workers</w:t>
      </w:r>
      <w:r w:rsidR="004958C3">
        <w:rPr>
          <w:rFonts w:ascii="Times New Roman" w:hAnsi="Times New Roman"/>
          <w:sz w:val="24"/>
          <w:szCs w:val="24"/>
        </w:rPr>
        <w:t xml:space="preserve">– and hence the return to their investments in education and training – </w:t>
      </w:r>
      <w:r w:rsidR="002A45A4" w:rsidRPr="00793A4A">
        <w:rPr>
          <w:rFonts w:ascii="Times New Roman" w:hAnsi="Times New Roman"/>
          <w:sz w:val="24"/>
          <w:szCs w:val="24"/>
        </w:rPr>
        <w:t>through the jobs they design and create</w:t>
      </w:r>
      <w:r w:rsidR="00494364">
        <w:rPr>
          <w:rFonts w:ascii="Times New Roman" w:hAnsi="Times New Roman"/>
          <w:sz w:val="24"/>
          <w:szCs w:val="24"/>
        </w:rPr>
        <w:t>,</w:t>
      </w:r>
      <w:r w:rsidR="00CB34AC">
        <w:rPr>
          <w:rFonts w:ascii="Times New Roman" w:hAnsi="Times New Roman"/>
          <w:sz w:val="24"/>
          <w:szCs w:val="24"/>
        </w:rPr>
        <w:t xml:space="preserve"> and the skills that are then</w:t>
      </w:r>
      <w:r>
        <w:rPr>
          <w:rFonts w:ascii="Times New Roman" w:hAnsi="Times New Roman"/>
          <w:sz w:val="24"/>
          <w:szCs w:val="24"/>
        </w:rPr>
        <w:t xml:space="preserve"> needed and</w:t>
      </w:r>
      <w:r w:rsidR="00CB34AC">
        <w:rPr>
          <w:rFonts w:ascii="Times New Roman" w:hAnsi="Times New Roman"/>
          <w:sz w:val="24"/>
          <w:szCs w:val="24"/>
        </w:rPr>
        <w:t xml:space="preserve"> put to work</w:t>
      </w:r>
      <w:r w:rsidR="00AB050F">
        <w:rPr>
          <w:rFonts w:ascii="Times New Roman" w:hAnsi="Times New Roman"/>
          <w:sz w:val="24"/>
          <w:szCs w:val="24"/>
        </w:rPr>
        <w:t xml:space="preserve"> (see, for example, </w:t>
      </w:r>
      <w:r>
        <w:rPr>
          <w:rFonts w:ascii="Times New Roman" w:hAnsi="Times New Roman"/>
          <w:sz w:val="24"/>
          <w:szCs w:val="24"/>
        </w:rPr>
        <w:t xml:space="preserve">the job competition model </w:t>
      </w:r>
      <w:r w:rsidR="002F3832">
        <w:rPr>
          <w:rFonts w:ascii="Times New Roman" w:hAnsi="Times New Roman"/>
          <w:sz w:val="24"/>
          <w:szCs w:val="24"/>
        </w:rPr>
        <w:t>of</w:t>
      </w:r>
      <w:r>
        <w:rPr>
          <w:rFonts w:ascii="Times New Roman" w:hAnsi="Times New Roman"/>
          <w:sz w:val="24"/>
          <w:szCs w:val="24"/>
        </w:rPr>
        <w:t xml:space="preserve"> </w:t>
      </w:r>
      <w:r w:rsidR="00AB050F">
        <w:rPr>
          <w:rFonts w:ascii="Times New Roman" w:hAnsi="Times New Roman"/>
          <w:sz w:val="24"/>
          <w:szCs w:val="24"/>
        </w:rPr>
        <w:t>Thurow, 1976</w:t>
      </w:r>
      <w:r w:rsidR="004958C3">
        <w:rPr>
          <w:rFonts w:ascii="Times New Roman" w:hAnsi="Times New Roman"/>
          <w:sz w:val="24"/>
          <w:szCs w:val="24"/>
        </w:rPr>
        <w:t>)</w:t>
      </w:r>
      <w:r w:rsidR="002A45A4" w:rsidRPr="00793A4A">
        <w:rPr>
          <w:rFonts w:ascii="Times New Roman" w:hAnsi="Times New Roman"/>
          <w:sz w:val="24"/>
          <w:szCs w:val="24"/>
        </w:rPr>
        <w:t xml:space="preserve">. </w:t>
      </w:r>
      <w:r>
        <w:rPr>
          <w:rFonts w:ascii="Times New Roman" w:hAnsi="Times New Roman"/>
          <w:sz w:val="24"/>
          <w:szCs w:val="24"/>
        </w:rPr>
        <w:t xml:space="preserve">Of course, some </w:t>
      </w:r>
      <w:r w:rsidR="002A45A4" w:rsidRPr="00793A4A">
        <w:rPr>
          <w:rFonts w:ascii="Times New Roman" w:hAnsi="Times New Roman"/>
          <w:sz w:val="24"/>
          <w:szCs w:val="24"/>
        </w:rPr>
        <w:t xml:space="preserve">jobs </w:t>
      </w:r>
      <w:r>
        <w:rPr>
          <w:rFonts w:ascii="Times New Roman" w:hAnsi="Times New Roman"/>
          <w:sz w:val="24"/>
          <w:szCs w:val="24"/>
        </w:rPr>
        <w:t xml:space="preserve">will </w:t>
      </w:r>
      <w:r w:rsidR="002A45A4" w:rsidRPr="00793A4A">
        <w:rPr>
          <w:rFonts w:ascii="Times New Roman" w:hAnsi="Times New Roman"/>
          <w:sz w:val="24"/>
          <w:szCs w:val="24"/>
        </w:rPr>
        <w:t>require skills to be developed before recruitment, as in the human capital interpretation of educational wage premia.</w:t>
      </w:r>
      <w:r w:rsidR="00CB34AC">
        <w:rPr>
          <w:rFonts w:ascii="Times New Roman" w:hAnsi="Times New Roman"/>
          <w:sz w:val="24"/>
          <w:szCs w:val="24"/>
        </w:rPr>
        <w:t xml:space="preserve"> In other cases, skills may be developed on the job, either through formal training or working experience</w:t>
      </w:r>
      <w:r>
        <w:rPr>
          <w:rFonts w:ascii="Times New Roman" w:hAnsi="Times New Roman"/>
          <w:sz w:val="24"/>
          <w:szCs w:val="24"/>
        </w:rPr>
        <w:t xml:space="preserve"> and more informal </w:t>
      </w:r>
      <w:r>
        <w:rPr>
          <w:rFonts w:ascii="Times New Roman" w:hAnsi="Times New Roman"/>
          <w:sz w:val="24"/>
          <w:szCs w:val="24"/>
        </w:rPr>
        <w:lastRenderedPageBreak/>
        <w:t>learning</w:t>
      </w:r>
      <w:r w:rsidR="00CB34AC">
        <w:rPr>
          <w:rFonts w:ascii="Times New Roman" w:hAnsi="Times New Roman"/>
          <w:sz w:val="24"/>
          <w:szCs w:val="24"/>
        </w:rPr>
        <w:t xml:space="preserve">. </w:t>
      </w:r>
      <w:r w:rsidR="00CB34AC" w:rsidRPr="00793A4A">
        <w:rPr>
          <w:rFonts w:ascii="Times New Roman" w:hAnsi="Times New Roman"/>
          <w:sz w:val="24"/>
          <w:szCs w:val="24"/>
        </w:rPr>
        <w:t xml:space="preserve">Employers may </w:t>
      </w:r>
      <w:r>
        <w:rPr>
          <w:rFonts w:ascii="Times New Roman" w:hAnsi="Times New Roman"/>
          <w:sz w:val="24"/>
          <w:szCs w:val="24"/>
        </w:rPr>
        <w:t xml:space="preserve">then </w:t>
      </w:r>
      <w:r w:rsidR="00CB34AC" w:rsidRPr="00793A4A">
        <w:rPr>
          <w:rFonts w:ascii="Times New Roman" w:hAnsi="Times New Roman"/>
          <w:sz w:val="24"/>
          <w:szCs w:val="24"/>
        </w:rPr>
        <w:t xml:space="preserve">use educational signals as indications of suitability for </w:t>
      </w:r>
      <w:r w:rsidR="00CB34AC">
        <w:rPr>
          <w:rFonts w:ascii="Times New Roman" w:hAnsi="Times New Roman"/>
          <w:sz w:val="24"/>
          <w:szCs w:val="24"/>
        </w:rPr>
        <w:t>learning the job once hired, and so prospective employers will invest in education to compete against other workers for the available distribution of jobs.</w:t>
      </w:r>
      <w:r w:rsidR="00E649DE">
        <w:rPr>
          <w:rFonts w:ascii="Times New Roman" w:hAnsi="Times New Roman"/>
          <w:sz w:val="24"/>
          <w:szCs w:val="24"/>
        </w:rPr>
        <w:t xml:space="preserve"> As with the pure signalling model, this educational investment can lead to higher wages but not due to a premium paid to skills created through this investment.</w:t>
      </w:r>
    </w:p>
    <w:p w:rsidR="000325D6" w:rsidRDefault="00E649DE" w:rsidP="00940760">
      <w:pPr>
        <w:spacing w:line="360" w:lineRule="auto"/>
        <w:jc w:val="both"/>
        <w:rPr>
          <w:rFonts w:ascii="Times New Roman" w:hAnsi="Times New Roman"/>
          <w:sz w:val="24"/>
          <w:szCs w:val="24"/>
        </w:rPr>
      </w:pPr>
      <w:r>
        <w:rPr>
          <w:rFonts w:ascii="Times New Roman" w:hAnsi="Times New Roman"/>
          <w:sz w:val="24"/>
          <w:szCs w:val="24"/>
        </w:rPr>
        <w:t xml:space="preserve">Incorporating the demand side of skills </w:t>
      </w:r>
      <w:r w:rsidR="000F60AC">
        <w:rPr>
          <w:rFonts w:ascii="Times New Roman" w:hAnsi="Times New Roman"/>
          <w:sz w:val="24"/>
          <w:szCs w:val="24"/>
        </w:rPr>
        <w:t>has important implications for the discussion of the returns to skill investments. One of these is that once there are sufficient skills produced in the labour market to meet the existing demand, the distribution of wages can be fixed unless something changes on the employers</w:t>
      </w:r>
      <w:r w:rsidR="00BB627A">
        <w:rPr>
          <w:rFonts w:ascii="Times New Roman" w:hAnsi="Times New Roman"/>
          <w:sz w:val="24"/>
          <w:szCs w:val="24"/>
        </w:rPr>
        <w:t>’</w:t>
      </w:r>
      <w:r w:rsidR="000F60AC">
        <w:rPr>
          <w:rFonts w:ascii="Times New Roman" w:hAnsi="Times New Roman"/>
          <w:sz w:val="24"/>
          <w:szCs w:val="24"/>
        </w:rPr>
        <w:t xml:space="preserve"> side – for example, </w:t>
      </w:r>
      <w:r w:rsidR="00BB627A">
        <w:rPr>
          <w:rFonts w:ascii="Times New Roman" w:hAnsi="Times New Roman"/>
          <w:sz w:val="24"/>
          <w:szCs w:val="24"/>
        </w:rPr>
        <w:t xml:space="preserve">if </w:t>
      </w:r>
      <w:r w:rsidR="000F60AC">
        <w:rPr>
          <w:rFonts w:ascii="Times New Roman" w:hAnsi="Times New Roman"/>
          <w:sz w:val="24"/>
          <w:szCs w:val="24"/>
        </w:rPr>
        <w:t>a new production technology is adopted. Further skill investments beyond that point will tend to lead to under</w:t>
      </w:r>
      <w:r w:rsidR="00494364">
        <w:rPr>
          <w:rFonts w:ascii="Times New Roman" w:hAnsi="Times New Roman"/>
          <w:sz w:val="24"/>
          <w:szCs w:val="24"/>
        </w:rPr>
        <w:t>-</w:t>
      </w:r>
      <w:r w:rsidR="000F60AC">
        <w:rPr>
          <w:rFonts w:ascii="Times New Roman" w:hAnsi="Times New Roman"/>
          <w:sz w:val="24"/>
          <w:szCs w:val="24"/>
        </w:rPr>
        <w:t xml:space="preserve">utilised skills, which by definition do not attract any financial return, and may lower overall returns (including non-monetary returns) if they lower the life satisfaction of those who are working below their capabilities. </w:t>
      </w:r>
      <w:r w:rsidR="00BB627A">
        <w:rPr>
          <w:rFonts w:ascii="Times New Roman" w:hAnsi="Times New Roman"/>
          <w:sz w:val="24"/>
          <w:szCs w:val="24"/>
        </w:rPr>
        <w:t>By contrast, b</w:t>
      </w:r>
      <w:r w:rsidR="000F60AC">
        <w:rPr>
          <w:rFonts w:ascii="Times New Roman" w:hAnsi="Times New Roman"/>
          <w:sz w:val="24"/>
          <w:szCs w:val="24"/>
        </w:rPr>
        <w:t xml:space="preserve">oth the human capital model and the signalling model do not say anything about the phenomena of overeducation because </w:t>
      </w:r>
      <w:r w:rsidR="00647268">
        <w:rPr>
          <w:rFonts w:ascii="Times New Roman" w:hAnsi="Times New Roman"/>
          <w:sz w:val="24"/>
          <w:szCs w:val="24"/>
        </w:rPr>
        <w:t>all skills are assumed to be fully utilised.</w:t>
      </w:r>
      <w:r w:rsidR="00680C07">
        <w:rPr>
          <w:rStyle w:val="FootnoteReference"/>
          <w:rFonts w:ascii="Times New Roman" w:hAnsi="Times New Roman"/>
          <w:sz w:val="24"/>
          <w:szCs w:val="24"/>
        </w:rPr>
        <w:footnoteReference w:id="13"/>
      </w:r>
      <w:r w:rsidR="00647268">
        <w:rPr>
          <w:rFonts w:ascii="Times New Roman" w:hAnsi="Times New Roman"/>
          <w:sz w:val="24"/>
          <w:szCs w:val="24"/>
        </w:rPr>
        <w:t xml:space="preserve"> </w:t>
      </w:r>
      <w:r w:rsidR="000325D6">
        <w:rPr>
          <w:rFonts w:ascii="Times New Roman" w:hAnsi="Times New Roman"/>
          <w:sz w:val="24"/>
          <w:szCs w:val="24"/>
        </w:rPr>
        <w:t>In the human capital model, any alteration in the supply of skills is brought into equilibrium through fluctuations in wages</w:t>
      </w:r>
      <w:r w:rsidR="005D5FFA">
        <w:rPr>
          <w:rFonts w:ascii="Times New Roman" w:hAnsi="Times New Roman"/>
          <w:sz w:val="24"/>
          <w:szCs w:val="24"/>
        </w:rPr>
        <w:t xml:space="preserve">, at least in the short-run, </w:t>
      </w:r>
      <w:r w:rsidR="000325D6">
        <w:rPr>
          <w:rFonts w:ascii="Times New Roman" w:hAnsi="Times New Roman"/>
          <w:sz w:val="24"/>
          <w:szCs w:val="24"/>
        </w:rPr>
        <w:t>because these skills are now less scarce (relative to the existing amount of capital</w:t>
      </w:r>
      <w:r w:rsidR="005D5FFA">
        <w:rPr>
          <w:rFonts w:ascii="Times New Roman" w:hAnsi="Times New Roman"/>
          <w:sz w:val="24"/>
          <w:szCs w:val="24"/>
        </w:rPr>
        <w:t xml:space="preserve">, </w:t>
      </w:r>
      <w:r w:rsidR="000325D6">
        <w:rPr>
          <w:rFonts w:ascii="Times New Roman" w:hAnsi="Times New Roman"/>
          <w:sz w:val="24"/>
          <w:szCs w:val="24"/>
        </w:rPr>
        <w:t xml:space="preserve">equipment </w:t>
      </w:r>
      <w:r w:rsidR="005D5FFA">
        <w:rPr>
          <w:rFonts w:ascii="Times New Roman" w:hAnsi="Times New Roman"/>
          <w:sz w:val="24"/>
          <w:szCs w:val="24"/>
        </w:rPr>
        <w:t xml:space="preserve">and other factors of production </w:t>
      </w:r>
      <w:r w:rsidR="000325D6">
        <w:rPr>
          <w:rFonts w:ascii="Times New Roman" w:hAnsi="Times New Roman"/>
          <w:sz w:val="24"/>
          <w:szCs w:val="24"/>
        </w:rPr>
        <w:t xml:space="preserve">that </w:t>
      </w:r>
      <w:r w:rsidR="005D5FFA">
        <w:rPr>
          <w:rFonts w:ascii="Times New Roman" w:hAnsi="Times New Roman"/>
          <w:sz w:val="24"/>
          <w:szCs w:val="24"/>
        </w:rPr>
        <w:t>individuals work with</w:t>
      </w:r>
      <w:r w:rsidR="000325D6">
        <w:rPr>
          <w:rFonts w:ascii="Times New Roman" w:hAnsi="Times New Roman"/>
          <w:sz w:val="24"/>
          <w:szCs w:val="24"/>
        </w:rPr>
        <w:t>)</w:t>
      </w:r>
      <w:r w:rsidR="005D5FFA">
        <w:rPr>
          <w:rFonts w:ascii="Times New Roman" w:hAnsi="Times New Roman"/>
          <w:sz w:val="24"/>
          <w:szCs w:val="24"/>
        </w:rPr>
        <w:t xml:space="preserve">. </w:t>
      </w:r>
      <w:r w:rsidR="000325D6">
        <w:rPr>
          <w:rFonts w:ascii="Times New Roman" w:hAnsi="Times New Roman"/>
          <w:sz w:val="24"/>
          <w:szCs w:val="24"/>
        </w:rPr>
        <w:t xml:space="preserve">Similarly, increasing educational participation of </w:t>
      </w:r>
      <w:r w:rsidR="005D5FFA">
        <w:rPr>
          <w:rFonts w:ascii="Times New Roman" w:hAnsi="Times New Roman"/>
          <w:sz w:val="24"/>
          <w:szCs w:val="24"/>
        </w:rPr>
        <w:t xml:space="preserve">lower ability </w:t>
      </w:r>
      <w:r w:rsidR="000325D6">
        <w:rPr>
          <w:rFonts w:ascii="Times New Roman" w:hAnsi="Times New Roman"/>
          <w:sz w:val="24"/>
          <w:szCs w:val="24"/>
        </w:rPr>
        <w:t xml:space="preserve">workers in the signalling model reduces wages to that group because the value of the signal has been reduced. </w:t>
      </w:r>
      <w:r w:rsidR="005D5FFA">
        <w:rPr>
          <w:rFonts w:ascii="Times New Roman" w:hAnsi="Times New Roman"/>
          <w:sz w:val="24"/>
          <w:szCs w:val="24"/>
        </w:rPr>
        <w:t>In the demand-constrained job competition model, however, there is no wage adjustment mechanism – instead, some educated, trained and skilled workers lose out and are pushed to instead find less demanding, less well-paid work.</w:t>
      </w:r>
    </w:p>
    <w:p w:rsidR="005D5FFA" w:rsidRDefault="005D5FFA" w:rsidP="00940760">
      <w:pPr>
        <w:spacing w:line="360" w:lineRule="auto"/>
        <w:jc w:val="both"/>
        <w:rPr>
          <w:rFonts w:ascii="Times New Roman" w:hAnsi="Times New Roman"/>
          <w:sz w:val="24"/>
          <w:szCs w:val="24"/>
        </w:rPr>
      </w:pPr>
      <w:r>
        <w:rPr>
          <w:rFonts w:ascii="Times New Roman" w:hAnsi="Times New Roman"/>
          <w:sz w:val="24"/>
          <w:szCs w:val="24"/>
        </w:rPr>
        <w:t xml:space="preserve">Recognising this </w:t>
      </w:r>
      <w:r w:rsidR="00494364">
        <w:rPr>
          <w:rFonts w:ascii="Times New Roman" w:hAnsi="Times New Roman"/>
          <w:sz w:val="24"/>
          <w:szCs w:val="24"/>
        </w:rPr>
        <w:t xml:space="preserve">possibility </w:t>
      </w:r>
      <w:r>
        <w:rPr>
          <w:rFonts w:ascii="Times New Roman" w:hAnsi="Times New Roman"/>
          <w:sz w:val="24"/>
          <w:szCs w:val="24"/>
        </w:rPr>
        <w:t xml:space="preserve">is important for taking anything meaningful away from the many estimates of the return to education. Firstly, in the human capital model, wage premia can be interpreted </w:t>
      </w:r>
      <w:r w:rsidR="0094590A">
        <w:rPr>
          <w:rFonts w:ascii="Times New Roman" w:hAnsi="Times New Roman"/>
          <w:sz w:val="24"/>
          <w:szCs w:val="24"/>
        </w:rPr>
        <w:t xml:space="preserve">as proxies for the greater productivity of skilled workers, and hence social value of skills. Moreover, if these premia do not fluctuate over time, this could be interpreted as saying </w:t>
      </w:r>
      <w:r w:rsidR="0094590A">
        <w:rPr>
          <w:rFonts w:ascii="Times New Roman" w:hAnsi="Times New Roman"/>
          <w:sz w:val="24"/>
          <w:szCs w:val="24"/>
        </w:rPr>
        <w:lastRenderedPageBreak/>
        <w:t>that demand for these skills is keeping up with their supply, as is the often the case when looking at the</w:t>
      </w:r>
      <w:r w:rsidR="004C3668">
        <w:rPr>
          <w:rFonts w:ascii="Times New Roman" w:hAnsi="Times New Roman"/>
          <w:sz w:val="24"/>
          <w:szCs w:val="24"/>
        </w:rPr>
        <w:t xml:space="preserve"> returns to a university degree </w:t>
      </w:r>
      <w:r w:rsidR="0094590A">
        <w:rPr>
          <w:rFonts w:ascii="Times New Roman" w:hAnsi="Times New Roman"/>
          <w:sz w:val="24"/>
          <w:szCs w:val="24"/>
        </w:rPr>
        <w:t xml:space="preserve">(see, for example, </w:t>
      </w:r>
      <w:r w:rsidR="004C3668">
        <w:rPr>
          <w:rFonts w:ascii="Times New Roman" w:hAnsi="Times New Roman"/>
          <w:sz w:val="24"/>
          <w:szCs w:val="24"/>
        </w:rPr>
        <w:t xml:space="preserve">Katz and Murphy, 1992, for the US and </w:t>
      </w:r>
      <w:r w:rsidR="0094590A" w:rsidRPr="00C42C19">
        <w:rPr>
          <w:rFonts w:ascii="Times New Roman" w:hAnsi="Times New Roman"/>
          <w:sz w:val="24"/>
          <w:szCs w:val="24"/>
        </w:rPr>
        <w:t>Walker and Zhu, 2008; 2013</w:t>
      </w:r>
      <w:r w:rsidR="004C3668">
        <w:rPr>
          <w:rFonts w:ascii="Times New Roman" w:hAnsi="Times New Roman"/>
          <w:sz w:val="24"/>
          <w:szCs w:val="24"/>
        </w:rPr>
        <w:t>, for the UK</w:t>
      </w:r>
      <w:r w:rsidR="0094590A" w:rsidRPr="00C42C19">
        <w:rPr>
          <w:rFonts w:ascii="Times New Roman" w:hAnsi="Times New Roman"/>
          <w:sz w:val="24"/>
          <w:szCs w:val="24"/>
        </w:rPr>
        <w:t>).</w:t>
      </w:r>
      <w:r w:rsidR="0094590A">
        <w:rPr>
          <w:rFonts w:ascii="Times New Roman" w:hAnsi="Times New Roman"/>
          <w:sz w:val="24"/>
          <w:szCs w:val="24"/>
        </w:rPr>
        <w:t xml:space="preserve"> In the job competition model, it would be more accurate </w:t>
      </w:r>
      <w:r w:rsidR="002F3832">
        <w:rPr>
          <w:rFonts w:ascii="Times New Roman" w:hAnsi="Times New Roman"/>
          <w:sz w:val="24"/>
          <w:szCs w:val="24"/>
        </w:rPr>
        <w:t xml:space="preserve">to </w:t>
      </w:r>
      <w:r w:rsidR="0094590A">
        <w:rPr>
          <w:rFonts w:ascii="Times New Roman" w:hAnsi="Times New Roman"/>
          <w:sz w:val="24"/>
          <w:szCs w:val="24"/>
        </w:rPr>
        <w:t xml:space="preserve">think about wage premia reflecting the average productivity of the jobs secured by one group compared to another. </w:t>
      </w:r>
      <w:r w:rsidR="00565B20">
        <w:rPr>
          <w:rFonts w:ascii="Times New Roman" w:hAnsi="Times New Roman"/>
          <w:sz w:val="24"/>
          <w:szCs w:val="24"/>
        </w:rPr>
        <w:t>A</w:t>
      </w:r>
      <w:r w:rsidR="0094590A">
        <w:rPr>
          <w:rFonts w:ascii="Times New Roman" w:hAnsi="Times New Roman"/>
          <w:sz w:val="24"/>
          <w:szCs w:val="24"/>
        </w:rPr>
        <w:t xml:space="preserve"> constant premium over time, even when the supply of skills is increased need not mean there is an increasing demand – instead, individuals with more qualifications find themselves working in a wider array of jobs, but in doing so, they push out the less qualified. </w:t>
      </w:r>
      <w:r w:rsidR="00C64DEB">
        <w:rPr>
          <w:rFonts w:ascii="Times New Roman" w:hAnsi="Times New Roman"/>
          <w:sz w:val="24"/>
          <w:szCs w:val="24"/>
        </w:rPr>
        <w:t>Consequently, t</w:t>
      </w:r>
      <w:r w:rsidR="0094590A">
        <w:rPr>
          <w:rFonts w:ascii="Times New Roman" w:hAnsi="Times New Roman"/>
          <w:sz w:val="24"/>
          <w:szCs w:val="24"/>
        </w:rPr>
        <w:t xml:space="preserve">he average wages and productivity of </w:t>
      </w:r>
      <w:r w:rsidR="00C64DEB">
        <w:rPr>
          <w:rFonts w:ascii="Times New Roman" w:hAnsi="Times New Roman"/>
          <w:sz w:val="24"/>
          <w:szCs w:val="24"/>
        </w:rPr>
        <w:t>both groups fall which</w:t>
      </w:r>
      <w:r w:rsidR="0094590A">
        <w:rPr>
          <w:rFonts w:ascii="Times New Roman" w:hAnsi="Times New Roman"/>
          <w:sz w:val="24"/>
          <w:szCs w:val="24"/>
        </w:rPr>
        <w:t xml:space="preserve"> </w:t>
      </w:r>
      <w:r w:rsidR="00C64DEB">
        <w:rPr>
          <w:rFonts w:ascii="Times New Roman" w:hAnsi="Times New Roman"/>
          <w:sz w:val="24"/>
          <w:szCs w:val="24"/>
        </w:rPr>
        <w:t xml:space="preserve">leads </w:t>
      </w:r>
      <w:r w:rsidR="0094590A">
        <w:rPr>
          <w:rFonts w:ascii="Times New Roman" w:hAnsi="Times New Roman"/>
          <w:sz w:val="24"/>
          <w:szCs w:val="24"/>
        </w:rPr>
        <w:t xml:space="preserve">to stable wage </w:t>
      </w:r>
      <w:r w:rsidR="007B2F1D">
        <w:rPr>
          <w:rFonts w:ascii="Times New Roman" w:hAnsi="Times New Roman"/>
          <w:sz w:val="24"/>
          <w:szCs w:val="24"/>
        </w:rPr>
        <w:t>differentials</w:t>
      </w:r>
      <w:r w:rsidR="00C64DEB">
        <w:rPr>
          <w:rFonts w:ascii="Times New Roman" w:hAnsi="Times New Roman"/>
          <w:sz w:val="24"/>
          <w:szCs w:val="24"/>
        </w:rPr>
        <w:t xml:space="preserve"> and</w:t>
      </w:r>
      <w:r w:rsidR="0094590A">
        <w:rPr>
          <w:rFonts w:ascii="Times New Roman" w:hAnsi="Times New Roman"/>
          <w:sz w:val="24"/>
          <w:szCs w:val="24"/>
        </w:rPr>
        <w:t xml:space="preserve"> increased levels of overeducation.</w:t>
      </w:r>
    </w:p>
    <w:p w:rsidR="009612C2" w:rsidRDefault="00EF70CB" w:rsidP="00940760">
      <w:pPr>
        <w:spacing w:line="360" w:lineRule="auto"/>
        <w:jc w:val="both"/>
        <w:rPr>
          <w:rFonts w:ascii="Times New Roman" w:hAnsi="Times New Roman"/>
          <w:sz w:val="24"/>
          <w:szCs w:val="24"/>
        </w:rPr>
      </w:pPr>
      <w:r>
        <w:rPr>
          <w:rFonts w:ascii="Times New Roman" w:hAnsi="Times New Roman"/>
          <w:sz w:val="24"/>
          <w:szCs w:val="24"/>
        </w:rPr>
        <w:t>There will also be different effects on the distribution of returns around the estimated wage premium, which captures the</w:t>
      </w:r>
      <w:r w:rsidR="00884BCA">
        <w:rPr>
          <w:rFonts w:ascii="Times New Roman" w:hAnsi="Times New Roman"/>
          <w:sz w:val="24"/>
          <w:szCs w:val="24"/>
        </w:rPr>
        <w:t xml:space="preserve"> average or expected wage benefit of making the investment. However, in a wo</w:t>
      </w:r>
      <w:r>
        <w:rPr>
          <w:rFonts w:ascii="Times New Roman" w:hAnsi="Times New Roman"/>
          <w:sz w:val="24"/>
          <w:szCs w:val="24"/>
        </w:rPr>
        <w:t>rld with uncertainty, investors, including people investing in their education and skills</w:t>
      </w:r>
      <w:r w:rsidR="008D3779">
        <w:rPr>
          <w:rFonts w:ascii="Times New Roman" w:hAnsi="Times New Roman"/>
          <w:sz w:val="24"/>
          <w:szCs w:val="24"/>
        </w:rPr>
        <w:t>,</w:t>
      </w:r>
      <w:r>
        <w:rPr>
          <w:rFonts w:ascii="Times New Roman" w:hAnsi="Times New Roman"/>
          <w:sz w:val="24"/>
          <w:szCs w:val="24"/>
        </w:rPr>
        <w:t xml:space="preserve"> </w:t>
      </w:r>
      <w:r w:rsidR="00884BCA">
        <w:rPr>
          <w:rFonts w:ascii="Times New Roman" w:hAnsi="Times New Roman"/>
          <w:sz w:val="24"/>
          <w:szCs w:val="24"/>
        </w:rPr>
        <w:t xml:space="preserve">care about the </w:t>
      </w:r>
      <w:r w:rsidR="00E53DCE">
        <w:rPr>
          <w:rFonts w:ascii="Times New Roman" w:hAnsi="Times New Roman"/>
          <w:sz w:val="24"/>
          <w:szCs w:val="24"/>
        </w:rPr>
        <w:t>spread of returns around this average and the pr</w:t>
      </w:r>
      <w:r w:rsidR="00E04870">
        <w:rPr>
          <w:rFonts w:ascii="Times New Roman" w:hAnsi="Times New Roman"/>
          <w:sz w:val="24"/>
          <w:szCs w:val="24"/>
        </w:rPr>
        <w:t>obabilities associated with ending up at different points of this spread.</w:t>
      </w:r>
      <w:r>
        <w:rPr>
          <w:rFonts w:ascii="Times New Roman" w:hAnsi="Times New Roman"/>
          <w:sz w:val="24"/>
          <w:szCs w:val="24"/>
        </w:rPr>
        <w:t xml:space="preserve"> In human capital theory, the distribution of wages for people who have made similar educational and training investments reflects qualitative (and potentially unobserved) differences in </w:t>
      </w:r>
      <w:r w:rsidR="009612C2">
        <w:rPr>
          <w:rFonts w:ascii="Times New Roman" w:hAnsi="Times New Roman"/>
          <w:sz w:val="24"/>
          <w:szCs w:val="24"/>
        </w:rPr>
        <w:t xml:space="preserve">either their </w:t>
      </w:r>
      <w:r w:rsidR="00C64DEB">
        <w:rPr>
          <w:rFonts w:ascii="Times New Roman" w:hAnsi="Times New Roman"/>
          <w:sz w:val="24"/>
          <w:szCs w:val="24"/>
        </w:rPr>
        <w:t xml:space="preserve">unobserved </w:t>
      </w:r>
      <w:r w:rsidR="009612C2">
        <w:rPr>
          <w:rFonts w:ascii="Times New Roman" w:hAnsi="Times New Roman"/>
          <w:sz w:val="24"/>
          <w:szCs w:val="24"/>
        </w:rPr>
        <w:t xml:space="preserve">abilities or </w:t>
      </w:r>
      <w:r>
        <w:rPr>
          <w:rFonts w:ascii="Times New Roman" w:hAnsi="Times New Roman"/>
          <w:sz w:val="24"/>
          <w:szCs w:val="24"/>
        </w:rPr>
        <w:t>the quality of the educational institution or the specific types of skills produced by different courses at the same level.</w:t>
      </w:r>
      <w:r w:rsidR="009612C2">
        <w:rPr>
          <w:rFonts w:ascii="Times New Roman" w:hAnsi="Times New Roman"/>
          <w:sz w:val="24"/>
          <w:szCs w:val="24"/>
        </w:rPr>
        <w:t xml:space="preserve"> </w:t>
      </w:r>
      <w:r w:rsidR="006713FB">
        <w:rPr>
          <w:rFonts w:ascii="Times New Roman" w:hAnsi="Times New Roman"/>
          <w:sz w:val="24"/>
          <w:szCs w:val="24"/>
        </w:rPr>
        <w:t xml:space="preserve">With enough data, this could be added into the calculation, leading to rates of return by subject of study or institution. </w:t>
      </w:r>
      <w:r w:rsidR="009612C2">
        <w:rPr>
          <w:rFonts w:ascii="Times New Roman" w:hAnsi="Times New Roman"/>
          <w:sz w:val="24"/>
          <w:szCs w:val="24"/>
        </w:rPr>
        <w:t>Over time, the distribution of the return to a particular type of education or training may change if these things alter</w:t>
      </w:r>
      <w:r w:rsidR="00C64DEB">
        <w:rPr>
          <w:rFonts w:ascii="Times New Roman" w:hAnsi="Times New Roman"/>
          <w:sz w:val="24"/>
          <w:szCs w:val="24"/>
        </w:rPr>
        <w:t>.</w:t>
      </w:r>
      <w:r w:rsidR="009612C2">
        <w:rPr>
          <w:rFonts w:ascii="Times New Roman" w:hAnsi="Times New Roman"/>
          <w:sz w:val="24"/>
          <w:szCs w:val="24"/>
        </w:rPr>
        <w:t>. This might be because increased provision comes at the expense of teaching quality, for example</w:t>
      </w:r>
      <w:r w:rsidR="006713FB">
        <w:rPr>
          <w:rFonts w:ascii="Times New Roman" w:hAnsi="Times New Roman"/>
          <w:sz w:val="24"/>
          <w:szCs w:val="24"/>
        </w:rPr>
        <w:t>, or because some courses grow more rapidly than others.</w:t>
      </w:r>
      <w:r w:rsidR="004C3668">
        <w:rPr>
          <w:rStyle w:val="FootnoteReference"/>
          <w:rFonts w:ascii="Times New Roman" w:hAnsi="Times New Roman"/>
          <w:sz w:val="24"/>
          <w:szCs w:val="24"/>
        </w:rPr>
        <w:footnoteReference w:id="14"/>
      </w:r>
      <w:r w:rsidR="009612C2">
        <w:rPr>
          <w:rFonts w:ascii="Times New Roman" w:hAnsi="Times New Roman"/>
          <w:sz w:val="24"/>
          <w:szCs w:val="24"/>
        </w:rPr>
        <w:t xml:space="preserve"> </w:t>
      </w:r>
    </w:p>
    <w:p w:rsidR="007A4A4F" w:rsidRDefault="004C3668" w:rsidP="00940760">
      <w:pPr>
        <w:spacing w:line="360" w:lineRule="auto"/>
        <w:jc w:val="both"/>
        <w:rPr>
          <w:rFonts w:ascii="Times New Roman" w:hAnsi="Times New Roman"/>
          <w:sz w:val="24"/>
          <w:szCs w:val="24"/>
        </w:rPr>
      </w:pPr>
      <w:r>
        <w:rPr>
          <w:rFonts w:ascii="Times New Roman" w:hAnsi="Times New Roman"/>
          <w:sz w:val="24"/>
          <w:szCs w:val="24"/>
        </w:rPr>
        <w:t>In the job competition model, th</w:t>
      </w:r>
      <w:r w:rsidR="00950955">
        <w:rPr>
          <w:rFonts w:ascii="Times New Roman" w:hAnsi="Times New Roman"/>
          <w:sz w:val="24"/>
          <w:szCs w:val="24"/>
        </w:rPr>
        <w:t>e distribution of returns changes if the jobs offered by employers change, or if the amount of people with the comparable education and training increases. Specifically, if nothing else changes</w:t>
      </w:r>
      <w:r w:rsidR="00680C07">
        <w:rPr>
          <w:rFonts w:ascii="Times New Roman" w:hAnsi="Times New Roman"/>
          <w:sz w:val="24"/>
          <w:szCs w:val="24"/>
        </w:rPr>
        <w:t xml:space="preserve"> to the structure of jobs</w:t>
      </w:r>
      <w:r w:rsidR="00950955">
        <w:rPr>
          <w:rFonts w:ascii="Times New Roman" w:hAnsi="Times New Roman"/>
          <w:sz w:val="24"/>
          <w:szCs w:val="24"/>
        </w:rPr>
        <w:t xml:space="preserve">, increasing participation </w:t>
      </w:r>
      <w:r w:rsidR="00680C07">
        <w:rPr>
          <w:rFonts w:ascii="Times New Roman" w:hAnsi="Times New Roman"/>
          <w:sz w:val="24"/>
          <w:szCs w:val="24"/>
        </w:rPr>
        <w:t>extends</w:t>
      </w:r>
      <w:r w:rsidR="00950955">
        <w:rPr>
          <w:rFonts w:ascii="Times New Roman" w:hAnsi="Times New Roman"/>
          <w:sz w:val="24"/>
          <w:szCs w:val="24"/>
        </w:rPr>
        <w:t xml:space="preserve"> the distribution at the low end as people with those qualifications compete for a wider range of jobs from the overall distribution. </w:t>
      </w:r>
      <w:r w:rsidR="00C64DEB">
        <w:rPr>
          <w:rFonts w:ascii="Times New Roman" w:hAnsi="Times New Roman"/>
          <w:sz w:val="24"/>
          <w:szCs w:val="24"/>
        </w:rPr>
        <w:t>T</w:t>
      </w:r>
      <w:r w:rsidR="00950955">
        <w:rPr>
          <w:rFonts w:ascii="Times New Roman" w:hAnsi="Times New Roman"/>
          <w:sz w:val="24"/>
          <w:szCs w:val="24"/>
        </w:rPr>
        <w:t xml:space="preserve">he distribution will widen even if an expansion of that level of education or training was achieved without compromising the quality of </w:t>
      </w:r>
      <w:r w:rsidR="006713FB">
        <w:rPr>
          <w:rFonts w:ascii="Times New Roman" w:hAnsi="Times New Roman"/>
          <w:sz w:val="24"/>
          <w:szCs w:val="24"/>
        </w:rPr>
        <w:t>provision or even the mix of skills.</w:t>
      </w:r>
    </w:p>
    <w:p w:rsidR="005B7B2E" w:rsidRDefault="00C64DEB" w:rsidP="005B7B2E">
      <w:pPr>
        <w:spacing w:line="360" w:lineRule="auto"/>
        <w:jc w:val="both"/>
        <w:rPr>
          <w:rFonts w:ascii="Times New Roman" w:hAnsi="Times New Roman"/>
          <w:sz w:val="24"/>
          <w:szCs w:val="24"/>
        </w:rPr>
      </w:pPr>
      <w:r>
        <w:rPr>
          <w:rFonts w:ascii="Times New Roman" w:hAnsi="Times New Roman"/>
          <w:sz w:val="24"/>
          <w:szCs w:val="24"/>
        </w:rPr>
        <w:lastRenderedPageBreak/>
        <w:t>F</w:t>
      </w:r>
      <w:r w:rsidR="006713FB">
        <w:rPr>
          <w:rFonts w:ascii="Times New Roman" w:hAnsi="Times New Roman"/>
          <w:sz w:val="24"/>
          <w:szCs w:val="24"/>
        </w:rPr>
        <w:t xml:space="preserve">rom the perspective of public policy, it is </w:t>
      </w:r>
      <w:r w:rsidR="00E04870">
        <w:rPr>
          <w:rFonts w:ascii="Times New Roman" w:hAnsi="Times New Roman"/>
          <w:sz w:val="24"/>
          <w:szCs w:val="24"/>
        </w:rPr>
        <w:t>the return to the marginal student rather than the average</w:t>
      </w:r>
      <w:r w:rsidR="006713FB">
        <w:rPr>
          <w:rFonts w:ascii="Times New Roman" w:hAnsi="Times New Roman"/>
          <w:sz w:val="24"/>
          <w:szCs w:val="24"/>
        </w:rPr>
        <w:t xml:space="preserve"> that is relevant </w:t>
      </w:r>
      <w:r w:rsidR="00E04870">
        <w:rPr>
          <w:rFonts w:ascii="Times New Roman" w:hAnsi="Times New Roman"/>
          <w:sz w:val="24"/>
          <w:szCs w:val="24"/>
        </w:rPr>
        <w:t xml:space="preserve">– that is, the student who </w:t>
      </w:r>
      <w:r w:rsidR="00B65128">
        <w:rPr>
          <w:rFonts w:ascii="Times New Roman" w:hAnsi="Times New Roman"/>
          <w:sz w:val="24"/>
          <w:szCs w:val="24"/>
        </w:rPr>
        <w:t>is on the cusp of participating</w:t>
      </w:r>
      <w:r w:rsidR="006713FB">
        <w:rPr>
          <w:rFonts w:ascii="Times New Roman" w:hAnsi="Times New Roman"/>
          <w:sz w:val="24"/>
          <w:szCs w:val="24"/>
        </w:rPr>
        <w:t xml:space="preserve"> or not participating</w:t>
      </w:r>
      <w:r w:rsidR="00B65128">
        <w:rPr>
          <w:rFonts w:ascii="Times New Roman" w:hAnsi="Times New Roman"/>
          <w:sz w:val="24"/>
          <w:szCs w:val="24"/>
        </w:rPr>
        <w:t xml:space="preserve">. </w:t>
      </w:r>
      <w:r w:rsidR="007B2487">
        <w:rPr>
          <w:rFonts w:ascii="Times New Roman" w:hAnsi="Times New Roman"/>
          <w:sz w:val="24"/>
          <w:szCs w:val="24"/>
        </w:rPr>
        <w:t xml:space="preserve">Carneiro </w:t>
      </w:r>
      <w:r w:rsidR="007B2487" w:rsidRPr="007B2487">
        <w:rPr>
          <w:rFonts w:ascii="Times New Roman" w:hAnsi="Times New Roman"/>
          <w:i/>
          <w:sz w:val="24"/>
          <w:szCs w:val="24"/>
        </w:rPr>
        <w:t>et al</w:t>
      </w:r>
      <w:r w:rsidR="007B2487">
        <w:rPr>
          <w:rFonts w:ascii="Times New Roman" w:hAnsi="Times New Roman"/>
          <w:sz w:val="24"/>
          <w:szCs w:val="24"/>
        </w:rPr>
        <w:t xml:space="preserve"> (2011) have shown that the marginal returns to expanding US college attendance are far lower than the returns estimated from Mincerian wage equations, even when the return is estimated using sophisticated instrumental variable techniques (see section 5.1). Such a finding is also consistent with some of the natural experiments discussed at the end of section 5.1 where a policy shift that increases participation produces low or zero returns. </w:t>
      </w:r>
      <w:r w:rsidR="000C660F">
        <w:rPr>
          <w:rFonts w:ascii="Times New Roman" w:hAnsi="Times New Roman"/>
          <w:sz w:val="24"/>
          <w:szCs w:val="24"/>
        </w:rPr>
        <w:t>Both sets are findings are predicted by the job competition model where the demand for skills and the structure of jobs are rigid.</w:t>
      </w:r>
    </w:p>
    <w:p w:rsidR="00793A4A" w:rsidRPr="00793A4A" w:rsidRDefault="007D11C9" w:rsidP="00940760">
      <w:pPr>
        <w:spacing w:line="360" w:lineRule="auto"/>
        <w:jc w:val="both"/>
        <w:rPr>
          <w:rFonts w:ascii="Times New Roman" w:hAnsi="Times New Roman"/>
          <w:b/>
          <w:sz w:val="24"/>
          <w:szCs w:val="24"/>
        </w:rPr>
      </w:pPr>
      <w:r>
        <w:rPr>
          <w:rFonts w:ascii="Times New Roman" w:hAnsi="Times New Roman"/>
          <w:b/>
          <w:sz w:val="24"/>
          <w:szCs w:val="24"/>
        </w:rPr>
        <w:t>Workplace</w:t>
      </w:r>
      <w:r w:rsidR="00793A4A" w:rsidRPr="00793A4A">
        <w:rPr>
          <w:rFonts w:ascii="Times New Roman" w:hAnsi="Times New Roman"/>
          <w:b/>
          <w:sz w:val="24"/>
          <w:szCs w:val="24"/>
        </w:rPr>
        <w:t xml:space="preserve"> training</w:t>
      </w:r>
    </w:p>
    <w:p w:rsidR="000C660F" w:rsidRDefault="000C660F" w:rsidP="00940760">
      <w:pPr>
        <w:spacing w:line="360" w:lineRule="auto"/>
        <w:jc w:val="both"/>
        <w:rPr>
          <w:rFonts w:ascii="Times New Roman" w:hAnsi="Times New Roman"/>
          <w:sz w:val="24"/>
          <w:szCs w:val="24"/>
        </w:rPr>
      </w:pPr>
      <w:r>
        <w:rPr>
          <w:rFonts w:ascii="Times New Roman" w:hAnsi="Times New Roman"/>
          <w:sz w:val="24"/>
          <w:szCs w:val="24"/>
        </w:rPr>
        <w:t>Up until this point, this chapter has largely focused on the returns to</w:t>
      </w:r>
      <w:r w:rsidR="00421119" w:rsidRPr="00793A4A">
        <w:rPr>
          <w:rFonts w:ascii="Times New Roman" w:hAnsi="Times New Roman"/>
          <w:sz w:val="24"/>
          <w:szCs w:val="24"/>
        </w:rPr>
        <w:t xml:space="preserve"> skills which are, to varying degrees, general, in the sense that they might raise the productivity of workers across a number of potential employers, occupations or industries. </w:t>
      </w:r>
      <w:r w:rsidR="00D70990">
        <w:rPr>
          <w:rFonts w:ascii="Times New Roman" w:hAnsi="Times New Roman"/>
          <w:sz w:val="24"/>
          <w:szCs w:val="24"/>
        </w:rPr>
        <w:t xml:space="preserve">Becker </w:t>
      </w:r>
      <w:r>
        <w:rPr>
          <w:rFonts w:ascii="Times New Roman" w:hAnsi="Times New Roman"/>
          <w:sz w:val="24"/>
          <w:szCs w:val="24"/>
        </w:rPr>
        <w:t xml:space="preserve">(1962) explained how </w:t>
      </w:r>
      <w:r w:rsidR="00D70990">
        <w:rPr>
          <w:rFonts w:ascii="Times New Roman" w:hAnsi="Times New Roman"/>
          <w:sz w:val="24"/>
          <w:szCs w:val="24"/>
        </w:rPr>
        <w:t xml:space="preserve">such </w:t>
      </w:r>
      <w:r>
        <w:rPr>
          <w:rFonts w:ascii="Times New Roman" w:hAnsi="Times New Roman"/>
          <w:sz w:val="24"/>
          <w:szCs w:val="24"/>
        </w:rPr>
        <w:t xml:space="preserve">skills would be underprovided by employers themselves as they would worry that once they had made the investment, a different firm would poach the worker. Hence, either workers or the state </w:t>
      </w:r>
      <w:r w:rsidR="009B06F6">
        <w:rPr>
          <w:rFonts w:ascii="Times New Roman" w:hAnsi="Times New Roman"/>
          <w:sz w:val="24"/>
          <w:szCs w:val="24"/>
        </w:rPr>
        <w:t>should</w:t>
      </w:r>
      <w:r>
        <w:rPr>
          <w:rFonts w:ascii="Times New Roman" w:hAnsi="Times New Roman"/>
          <w:sz w:val="24"/>
          <w:szCs w:val="24"/>
        </w:rPr>
        <w:t xml:space="preserve"> pay the cost of general skill investments</w:t>
      </w:r>
      <w:r w:rsidR="00D70990">
        <w:rPr>
          <w:rFonts w:ascii="Times New Roman" w:hAnsi="Times New Roman"/>
          <w:sz w:val="24"/>
          <w:szCs w:val="24"/>
        </w:rPr>
        <w:t>, largely</w:t>
      </w:r>
      <w:r>
        <w:rPr>
          <w:rFonts w:ascii="Times New Roman" w:hAnsi="Times New Roman"/>
          <w:sz w:val="24"/>
          <w:szCs w:val="24"/>
        </w:rPr>
        <w:t xml:space="preserve"> in primary, secondary and tertiary education.</w:t>
      </w:r>
    </w:p>
    <w:p w:rsidR="000C660F" w:rsidRDefault="007D11C9" w:rsidP="00940760">
      <w:pPr>
        <w:spacing w:line="360" w:lineRule="auto"/>
        <w:jc w:val="both"/>
        <w:rPr>
          <w:rFonts w:ascii="Times New Roman" w:hAnsi="Times New Roman"/>
          <w:sz w:val="24"/>
          <w:szCs w:val="24"/>
        </w:rPr>
      </w:pPr>
      <w:r>
        <w:rPr>
          <w:rFonts w:ascii="Times New Roman" w:hAnsi="Times New Roman"/>
          <w:sz w:val="24"/>
          <w:szCs w:val="24"/>
        </w:rPr>
        <w:t>However, individuals continu</w:t>
      </w:r>
      <w:r w:rsidR="009B06F6">
        <w:rPr>
          <w:rFonts w:ascii="Times New Roman" w:hAnsi="Times New Roman"/>
          <w:sz w:val="24"/>
          <w:szCs w:val="24"/>
        </w:rPr>
        <w:t>e</w:t>
      </w:r>
      <w:r>
        <w:rPr>
          <w:rFonts w:ascii="Times New Roman" w:hAnsi="Times New Roman"/>
          <w:sz w:val="24"/>
          <w:szCs w:val="24"/>
        </w:rPr>
        <w:t xml:space="preserve"> to invest in their skill</w:t>
      </w:r>
      <w:r w:rsidR="00D70990">
        <w:rPr>
          <w:rFonts w:ascii="Times New Roman" w:hAnsi="Times New Roman"/>
          <w:sz w:val="24"/>
          <w:szCs w:val="24"/>
        </w:rPr>
        <w:t>s</w:t>
      </w:r>
      <w:r>
        <w:rPr>
          <w:rFonts w:ascii="Times New Roman" w:hAnsi="Times New Roman"/>
          <w:sz w:val="24"/>
          <w:szCs w:val="24"/>
        </w:rPr>
        <w:t xml:space="preserve"> beyond the formal education and training system.</w:t>
      </w:r>
      <w:r w:rsidR="00D70990">
        <w:rPr>
          <w:rFonts w:ascii="Times New Roman" w:hAnsi="Times New Roman"/>
          <w:sz w:val="24"/>
          <w:szCs w:val="24"/>
        </w:rPr>
        <w:t xml:space="preserve"> Becker argued that firms will provide training</w:t>
      </w:r>
      <w:r w:rsidR="000C660F">
        <w:rPr>
          <w:rFonts w:ascii="Times New Roman" w:hAnsi="Times New Roman"/>
          <w:sz w:val="24"/>
          <w:szCs w:val="24"/>
        </w:rPr>
        <w:t xml:space="preserve"> </w:t>
      </w:r>
      <w:r w:rsidR="00D70990">
        <w:rPr>
          <w:rFonts w:ascii="Times New Roman" w:hAnsi="Times New Roman"/>
          <w:sz w:val="24"/>
          <w:szCs w:val="24"/>
        </w:rPr>
        <w:t>in</w:t>
      </w:r>
      <w:r w:rsidR="000C660F">
        <w:rPr>
          <w:rFonts w:ascii="Times New Roman" w:hAnsi="Times New Roman"/>
          <w:sz w:val="24"/>
          <w:szCs w:val="24"/>
        </w:rPr>
        <w:t xml:space="preserve"> specific skill</w:t>
      </w:r>
      <w:r w:rsidR="00D70990">
        <w:rPr>
          <w:rFonts w:ascii="Times New Roman" w:hAnsi="Times New Roman"/>
          <w:sz w:val="24"/>
          <w:szCs w:val="24"/>
        </w:rPr>
        <w:t>s – that is, skills which rival firms are unlikely to poach –</w:t>
      </w:r>
      <w:r w:rsidR="009428A4">
        <w:rPr>
          <w:rFonts w:ascii="Times New Roman" w:hAnsi="Times New Roman"/>
          <w:sz w:val="24"/>
          <w:szCs w:val="24"/>
        </w:rPr>
        <w:t xml:space="preserve"> </w:t>
      </w:r>
      <w:r w:rsidR="00D70990">
        <w:rPr>
          <w:rFonts w:ascii="Times New Roman" w:hAnsi="Times New Roman"/>
          <w:sz w:val="24"/>
          <w:szCs w:val="24"/>
        </w:rPr>
        <w:t>but w</w:t>
      </w:r>
      <w:r w:rsidR="00153EA4">
        <w:rPr>
          <w:rFonts w:ascii="Times New Roman" w:hAnsi="Times New Roman"/>
          <w:sz w:val="24"/>
          <w:szCs w:val="24"/>
        </w:rPr>
        <w:t xml:space="preserve">orkers will likely </w:t>
      </w:r>
      <w:r w:rsidR="009428A4">
        <w:rPr>
          <w:rFonts w:ascii="Times New Roman" w:hAnsi="Times New Roman"/>
          <w:sz w:val="24"/>
          <w:szCs w:val="24"/>
        </w:rPr>
        <w:t xml:space="preserve">be given a </w:t>
      </w:r>
      <w:r w:rsidR="00153EA4">
        <w:rPr>
          <w:rFonts w:ascii="Times New Roman" w:hAnsi="Times New Roman"/>
          <w:sz w:val="24"/>
          <w:szCs w:val="24"/>
        </w:rPr>
        <w:t xml:space="preserve">share in the proceeds of that investment in order to </w:t>
      </w:r>
      <w:r w:rsidR="009428A4">
        <w:rPr>
          <w:rFonts w:ascii="Times New Roman" w:hAnsi="Times New Roman"/>
          <w:sz w:val="24"/>
          <w:szCs w:val="24"/>
        </w:rPr>
        <w:t xml:space="preserve">create incentives for them to stay in their current job so that the firm </w:t>
      </w:r>
      <w:r w:rsidR="007D5CBE">
        <w:rPr>
          <w:rFonts w:ascii="Times New Roman" w:hAnsi="Times New Roman"/>
          <w:sz w:val="24"/>
          <w:szCs w:val="24"/>
        </w:rPr>
        <w:t>can maximise</w:t>
      </w:r>
      <w:r w:rsidR="009428A4">
        <w:rPr>
          <w:rFonts w:ascii="Times New Roman" w:hAnsi="Times New Roman"/>
          <w:sz w:val="24"/>
          <w:szCs w:val="24"/>
        </w:rPr>
        <w:t xml:space="preserve"> its own return on its skill investment</w:t>
      </w:r>
      <w:r w:rsidR="00C75CA8">
        <w:rPr>
          <w:rFonts w:ascii="Times New Roman" w:hAnsi="Times New Roman"/>
          <w:sz w:val="24"/>
          <w:szCs w:val="24"/>
        </w:rPr>
        <w:t xml:space="preserve">. </w:t>
      </w:r>
      <w:r w:rsidR="000F53F6">
        <w:rPr>
          <w:rFonts w:ascii="Times New Roman" w:hAnsi="Times New Roman"/>
          <w:sz w:val="24"/>
          <w:szCs w:val="24"/>
        </w:rPr>
        <w:t>In this</w:t>
      </w:r>
      <w:r w:rsidR="00D70990">
        <w:rPr>
          <w:rFonts w:ascii="Times New Roman" w:hAnsi="Times New Roman"/>
          <w:sz w:val="24"/>
          <w:szCs w:val="24"/>
        </w:rPr>
        <w:t xml:space="preserve"> last section, we consider the return to these</w:t>
      </w:r>
      <w:r w:rsidR="000F53F6">
        <w:rPr>
          <w:rFonts w:ascii="Times New Roman" w:hAnsi="Times New Roman"/>
          <w:sz w:val="24"/>
          <w:szCs w:val="24"/>
        </w:rPr>
        <w:t xml:space="preserve"> sorts of investments</w:t>
      </w:r>
      <w:r w:rsidR="00D70990">
        <w:rPr>
          <w:rFonts w:ascii="Times New Roman" w:hAnsi="Times New Roman"/>
          <w:sz w:val="24"/>
          <w:szCs w:val="24"/>
        </w:rPr>
        <w:t>.</w:t>
      </w:r>
      <w:r w:rsidR="000F53F6">
        <w:rPr>
          <w:rFonts w:ascii="Times New Roman" w:hAnsi="Times New Roman"/>
          <w:sz w:val="24"/>
          <w:szCs w:val="24"/>
        </w:rPr>
        <w:t>.</w:t>
      </w:r>
    </w:p>
    <w:p w:rsidR="00E6752E" w:rsidRDefault="000F53F6" w:rsidP="00940760">
      <w:pPr>
        <w:spacing w:line="360" w:lineRule="auto"/>
        <w:jc w:val="both"/>
        <w:rPr>
          <w:rFonts w:ascii="Times New Roman" w:hAnsi="Times New Roman"/>
          <w:sz w:val="24"/>
          <w:szCs w:val="24"/>
        </w:rPr>
      </w:pPr>
      <w:r>
        <w:rPr>
          <w:rFonts w:ascii="Times New Roman" w:hAnsi="Times New Roman"/>
          <w:sz w:val="24"/>
          <w:szCs w:val="24"/>
        </w:rPr>
        <w:t xml:space="preserve">In theory, the methodological approaches and </w:t>
      </w:r>
      <w:r w:rsidR="00C75CA8">
        <w:rPr>
          <w:rFonts w:ascii="Times New Roman" w:hAnsi="Times New Roman"/>
          <w:sz w:val="24"/>
          <w:szCs w:val="24"/>
        </w:rPr>
        <w:t xml:space="preserve">problems </w:t>
      </w:r>
      <w:r w:rsidR="00D70990">
        <w:rPr>
          <w:rFonts w:ascii="Times New Roman" w:hAnsi="Times New Roman"/>
          <w:sz w:val="24"/>
          <w:szCs w:val="24"/>
        </w:rPr>
        <w:t xml:space="preserve">discussed previously </w:t>
      </w:r>
      <w:r>
        <w:rPr>
          <w:rFonts w:ascii="Times New Roman" w:hAnsi="Times New Roman"/>
          <w:sz w:val="24"/>
          <w:szCs w:val="24"/>
        </w:rPr>
        <w:t xml:space="preserve">to general </w:t>
      </w:r>
      <w:r w:rsidR="009B06F6">
        <w:rPr>
          <w:rFonts w:ascii="Times New Roman" w:hAnsi="Times New Roman"/>
          <w:sz w:val="24"/>
          <w:szCs w:val="24"/>
        </w:rPr>
        <w:t xml:space="preserve">education and training </w:t>
      </w:r>
      <w:r>
        <w:rPr>
          <w:rFonts w:ascii="Times New Roman" w:hAnsi="Times New Roman"/>
          <w:sz w:val="24"/>
          <w:szCs w:val="24"/>
        </w:rPr>
        <w:t xml:space="preserve">apply equally </w:t>
      </w:r>
      <w:r w:rsidR="00D70990">
        <w:rPr>
          <w:rFonts w:ascii="Times New Roman" w:hAnsi="Times New Roman"/>
          <w:sz w:val="24"/>
          <w:szCs w:val="24"/>
        </w:rPr>
        <w:t>to workplace</w:t>
      </w:r>
      <w:r>
        <w:rPr>
          <w:rFonts w:ascii="Times New Roman" w:hAnsi="Times New Roman"/>
          <w:sz w:val="24"/>
          <w:szCs w:val="24"/>
        </w:rPr>
        <w:t xml:space="preserve"> training. </w:t>
      </w:r>
      <w:r w:rsidR="00153EA4">
        <w:rPr>
          <w:rFonts w:ascii="Times New Roman" w:hAnsi="Times New Roman"/>
          <w:sz w:val="24"/>
          <w:szCs w:val="24"/>
        </w:rPr>
        <w:t xml:space="preserve">In a wage regression, the variable of interest will usually capture participation in some form of training or </w:t>
      </w:r>
      <w:r w:rsidR="00C75CA8">
        <w:rPr>
          <w:rFonts w:ascii="Times New Roman" w:hAnsi="Times New Roman"/>
          <w:sz w:val="24"/>
          <w:szCs w:val="24"/>
        </w:rPr>
        <w:t>could measure</w:t>
      </w:r>
      <w:r w:rsidR="00153EA4">
        <w:rPr>
          <w:rFonts w:ascii="Times New Roman" w:hAnsi="Times New Roman"/>
          <w:sz w:val="24"/>
          <w:szCs w:val="24"/>
        </w:rPr>
        <w:t xml:space="preserve"> the amount of time spent</w:t>
      </w:r>
      <w:r w:rsidR="00D70990">
        <w:rPr>
          <w:rFonts w:ascii="Times New Roman" w:hAnsi="Times New Roman"/>
          <w:sz w:val="24"/>
          <w:szCs w:val="24"/>
        </w:rPr>
        <w:t xml:space="preserve"> in a training programme, which leads to issues about what types and levels of skills are actually being measured.</w:t>
      </w:r>
      <w:r w:rsidR="00C75CA8">
        <w:rPr>
          <w:rFonts w:ascii="Times New Roman" w:hAnsi="Times New Roman"/>
          <w:sz w:val="24"/>
          <w:szCs w:val="24"/>
        </w:rPr>
        <w:t xml:space="preserve"> </w:t>
      </w:r>
      <w:r w:rsidR="00D70990">
        <w:rPr>
          <w:rFonts w:ascii="Times New Roman" w:hAnsi="Times New Roman"/>
          <w:sz w:val="24"/>
          <w:szCs w:val="24"/>
        </w:rPr>
        <w:t>As before, there are i</w:t>
      </w:r>
      <w:r w:rsidR="00C75CA8">
        <w:rPr>
          <w:rFonts w:ascii="Times New Roman" w:hAnsi="Times New Roman"/>
          <w:sz w:val="24"/>
          <w:szCs w:val="24"/>
        </w:rPr>
        <w:t xml:space="preserve">ssues relating to unobserved differences between participants and non-participants. Those who complete a training programme are unlikely to be a random selection of all potential trainees – they may be more motivated or have other abilities which both improve their future earning potential (even without the training) and make it more likely they participate in and complete training. Hence, </w:t>
      </w:r>
      <w:r w:rsidR="00C75CA8">
        <w:rPr>
          <w:rFonts w:ascii="Times New Roman" w:hAnsi="Times New Roman"/>
          <w:sz w:val="24"/>
          <w:szCs w:val="24"/>
        </w:rPr>
        <w:lastRenderedPageBreak/>
        <w:t xml:space="preserve">simple estimates of the wage premium to training are affected by the same ability biases shown in Figure 5.1. </w:t>
      </w:r>
    </w:p>
    <w:p w:rsidR="0075318C" w:rsidRDefault="00E6752E" w:rsidP="00940760">
      <w:pPr>
        <w:spacing w:line="360" w:lineRule="auto"/>
        <w:jc w:val="both"/>
        <w:rPr>
          <w:rFonts w:ascii="Times New Roman" w:hAnsi="Times New Roman"/>
          <w:sz w:val="24"/>
          <w:szCs w:val="24"/>
        </w:rPr>
      </w:pPr>
      <w:r>
        <w:rPr>
          <w:rFonts w:ascii="Times New Roman" w:hAnsi="Times New Roman"/>
          <w:sz w:val="24"/>
          <w:szCs w:val="24"/>
        </w:rPr>
        <w:t>Unlike general education and training, individuals typically work before and after episodes of firm-based training. A</w:t>
      </w:r>
      <w:r w:rsidR="00D70990">
        <w:rPr>
          <w:rFonts w:ascii="Times New Roman" w:hAnsi="Times New Roman"/>
          <w:sz w:val="24"/>
          <w:szCs w:val="24"/>
        </w:rPr>
        <w:t>s a result, researchers can use</w:t>
      </w:r>
      <w:r>
        <w:rPr>
          <w:rFonts w:ascii="Times New Roman" w:hAnsi="Times New Roman"/>
          <w:sz w:val="24"/>
          <w:szCs w:val="24"/>
        </w:rPr>
        <w:t xml:space="preserve"> panel data to attempt to deal with ability bias. Specifically, </w:t>
      </w:r>
      <w:r w:rsidR="0075318C">
        <w:rPr>
          <w:rFonts w:ascii="Times New Roman" w:hAnsi="Times New Roman"/>
          <w:sz w:val="24"/>
          <w:szCs w:val="24"/>
        </w:rPr>
        <w:t>if we assume that the unobservable</w:t>
      </w:r>
      <w:r>
        <w:rPr>
          <w:rFonts w:ascii="Times New Roman" w:hAnsi="Times New Roman"/>
          <w:sz w:val="24"/>
          <w:szCs w:val="24"/>
        </w:rPr>
        <w:t xml:space="preserve"> </w:t>
      </w:r>
      <w:r w:rsidR="00D70990">
        <w:rPr>
          <w:rFonts w:ascii="Times New Roman" w:hAnsi="Times New Roman"/>
          <w:sz w:val="24"/>
          <w:szCs w:val="24"/>
        </w:rPr>
        <w:t>factors</w:t>
      </w:r>
      <w:r>
        <w:rPr>
          <w:rFonts w:ascii="Times New Roman" w:hAnsi="Times New Roman"/>
          <w:sz w:val="24"/>
          <w:szCs w:val="24"/>
        </w:rPr>
        <w:t xml:space="preserve"> which affect wages and are correlated with participation in training do not change over time, then the change in wages before and after </w:t>
      </w:r>
      <w:r w:rsidR="00F12CDD">
        <w:rPr>
          <w:rFonts w:ascii="Times New Roman" w:hAnsi="Times New Roman"/>
          <w:sz w:val="24"/>
          <w:szCs w:val="24"/>
        </w:rPr>
        <w:t>training for trainees compared to non-trainees would estimate the true return on the investment</w:t>
      </w:r>
      <w:r>
        <w:rPr>
          <w:rFonts w:ascii="Times New Roman" w:hAnsi="Times New Roman"/>
          <w:sz w:val="24"/>
          <w:szCs w:val="24"/>
        </w:rPr>
        <w:t>.</w:t>
      </w:r>
      <w:r w:rsidR="00F12CDD">
        <w:rPr>
          <w:rStyle w:val="FootnoteReference"/>
          <w:rFonts w:ascii="Times New Roman" w:hAnsi="Times New Roman"/>
          <w:sz w:val="24"/>
          <w:szCs w:val="24"/>
        </w:rPr>
        <w:footnoteReference w:id="15"/>
      </w:r>
      <w:r>
        <w:rPr>
          <w:rFonts w:ascii="Times New Roman" w:hAnsi="Times New Roman"/>
          <w:sz w:val="24"/>
          <w:szCs w:val="24"/>
        </w:rPr>
        <w:t xml:space="preserve">  </w:t>
      </w:r>
      <w:r w:rsidR="0075318C">
        <w:rPr>
          <w:rFonts w:ascii="Times New Roman" w:hAnsi="Times New Roman"/>
          <w:sz w:val="24"/>
          <w:szCs w:val="24"/>
        </w:rPr>
        <w:t xml:space="preserve">, </w:t>
      </w:r>
      <w:r w:rsidR="009B06F6">
        <w:rPr>
          <w:rFonts w:ascii="Times New Roman" w:hAnsi="Times New Roman"/>
          <w:sz w:val="24"/>
          <w:szCs w:val="24"/>
        </w:rPr>
        <w:t>T</w:t>
      </w:r>
      <w:r w:rsidR="0075318C">
        <w:rPr>
          <w:rFonts w:ascii="Times New Roman" w:hAnsi="Times New Roman"/>
          <w:sz w:val="24"/>
          <w:szCs w:val="24"/>
        </w:rPr>
        <w:t xml:space="preserve">his approach tends to significantly reduce the measured return relative to a naïve regression of participating on wages. For example, </w:t>
      </w:r>
      <w:r w:rsidR="0021023F">
        <w:rPr>
          <w:rFonts w:ascii="Times New Roman" w:hAnsi="Times New Roman"/>
          <w:sz w:val="24"/>
          <w:szCs w:val="24"/>
        </w:rPr>
        <w:t>Cedefop (2011) finds a significant wage premium across European data for employees who experienced some training in a 12 month period relative to those that do</w:t>
      </w:r>
      <w:r w:rsidR="00C64DEB">
        <w:rPr>
          <w:rFonts w:ascii="Times New Roman" w:hAnsi="Times New Roman"/>
          <w:sz w:val="24"/>
          <w:szCs w:val="24"/>
        </w:rPr>
        <w:t xml:space="preserve"> no</w:t>
      </w:r>
      <w:r w:rsidR="0021023F">
        <w:rPr>
          <w:rFonts w:ascii="Times New Roman" w:hAnsi="Times New Roman"/>
          <w:sz w:val="24"/>
          <w:szCs w:val="24"/>
        </w:rPr>
        <w:t xml:space="preserve">t – for men this </w:t>
      </w:r>
      <w:r w:rsidR="00C41978">
        <w:rPr>
          <w:rFonts w:ascii="Times New Roman" w:hAnsi="Times New Roman"/>
          <w:sz w:val="24"/>
          <w:szCs w:val="24"/>
        </w:rPr>
        <w:t>was estimated</w:t>
      </w:r>
      <w:r w:rsidR="0021023F">
        <w:rPr>
          <w:rFonts w:ascii="Times New Roman" w:hAnsi="Times New Roman"/>
          <w:sz w:val="24"/>
          <w:szCs w:val="24"/>
        </w:rPr>
        <w:t xml:space="preserve"> </w:t>
      </w:r>
      <w:r w:rsidR="00C41978">
        <w:rPr>
          <w:rFonts w:ascii="Times New Roman" w:hAnsi="Times New Roman"/>
          <w:sz w:val="24"/>
          <w:szCs w:val="24"/>
        </w:rPr>
        <w:t xml:space="preserve">as </w:t>
      </w:r>
      <w:r w:rsidR="0021023F">
        <w:rPr>
          <w:rFonts w:ascii="Times New Roman" w:hAnsi="Times New Roman"/>
          <w:sz w:val="24"/>
          <w:szCs w:val="24"/>
        </w:rPr>
        <w:t>9</w:t>
      </w:r>
      <w:r w:rsidR="00C41978">
        <w:rPr>
          <w:rFonts w:ascii="Times New Roman" w:hAnsi="Times New Roman"/>
          <w:sz w:val="24"/>
          <w:szCs w:val="24"/>
        </w:rPr>
        <w:t xml:space="preserve">.6% using one data set and </w:t>
      </w:r>
      <w:r w:rsidR="0021023F">
        <w:rPr>
          <w:rFonts w:ascii="Times New Roman" w:hAnsi="Times New Roman"/>
          <w:sz w:val="24"/>
          <w:szCs w:val="24"/>
        </w:rPr>
        <w:t>15</w:t>
      </w:r>
      <w:r w:rsidR="00C41978">
        <w:rPr>
          <w:rFonts w:ascii="Times New Roman" w:hAnsi="Times New Roman"/>
          <w:sz w:val="24"/>
          <w:szCs w:val="24"/>
        </w:rPr>
        <w:t>.5</w:t>
      </w:r>
      <w:r w:rsidR="0021023F">
        <w:rPr>
          <w:rFonts w:ascii="Times New Roman" w:hAnsi="Times New Roman"/>
          <w:sz w:val="24"/>
          <w:szCs w:val="24"/>
        </w:rPr>
        <w:t xml:space="preserve">% </w:t>
      </w:r>
      <w:r w:rsidR="00C41978">
        <w:rPr>
          <w:rFonts w:ascii="Times New Roman" w:hAnsi="Times New Roman"/>
          <w:sz w:val="24"/>
          <w:szCs w:val="24"/>
        </w:rPr>
        <w:t>using another</w:t>
      </w:r>
      <w:r w:rsidR="0021023F">
        <w:rPr>
          <w:rFonts w:ascii="Times New Roman" w:hAnsi="Times New Roman"/>
          <w:sz w:val="24"/>
          <w:szCs w:val="24"/>
        </w:rPr>
        <w:t>,</w:t>
      </w:r>
      <w:r w:rsidR="00C41978">
        <w:rPr>
          <w:rFonts w:ascii="Times New Roman" w:hAnsi="Times New Roman"/>
          <w:sz w:val="24"/>
          <w:szCs w:val="24"/>
        </w:rPr>
        <w:t xml:space="preserve"> with 10.2% and 12.4% being equivalent figures for women.</w:t>
      </w:r>
      <w:r w:rsidR="0021023F">
        <w:rPr>
          <w:rFonts w:ascii="Times New Roman" w:hAnsi="Times New Roman"/>
          <w:sz w:val="24"/>
          <w:szCs w:val="24"/>
        </w:rPr>
        <w:t xml:space="preserve"> </w:t>
      </w:r>
      <w:r w:rsidR="00C41978">
        <w:rPr>
          <w:rFonts w:ascii="Times New Roman" w:hAnsi="Times New Roman"/>
          <w:sz w:val="24"/>
          <w:szCs w:val="24"/>
        </w:rPr>
        <w:t>Once fixed effects were used, all estimates reduced and none remained statistically significantly different from zero.</w:t>
      </w:r>
    </w:p>
    <w:p w:rsidR="0075318C" w:rsidRDefault="00F12CDD" w:rsidP="00940760">
      <w:pPr>
        <w:spacing w:line="360" w:lineRule="auto"/>
        <w:jc w:val="both"/>
        <w:rPr>
          <w:rFonts w:ascii="Times New Roman" w:hAnsi="Times New Roman"/>
          <w:sz w:val="24"/>
          <w:szCs w:val="24"/>
        </w:rPr>
      </w:pPr>
      <w:r>
        <w:rPr>
          <w:rFonts w:ascii="Times New Roman" w:hAnsi="Times New Roman"/>
          <w:sz w:val="24"/>
          <w:szCs w:val="24"/>
        </w:rPr>
        <w:t>This approach has been popular in the literature</w:t>
      </w:r>
      <w:r w:rsidR="00C41978">
        <w:rPr>
          <w:rFonts w:ascii="Times New Roman" w:hAnsi="Times New Roman"/>
          <w:sz w:val="24"/>
          <w:szCs w:val="24"/>
        </w:rPr>
        <w:t xml:space="preserve"> and has found significant, positive effects of training on wages (for a survey, see Leuven, 2004)</w:t>
      </w:r>
      <w:r w:rsidR="0075318C">
        <w:rPr>
          <w:rFonts w:ascii="Times New Roman" w:hAnsi="Times New Roman"/>
          <w:sz w:val="24"/>
          <w:szCs w:val="24"/>
        </w:rPr>
        <w:t xml:space="preserve"> To give one example, Blundell </w:t>
      </w:r>
      <w:r w:rsidR="0075318C" w:rsidRPr="00FC667C">
        <w:rPr>
          <w:rFonts w:ascii="Times New Roman" w:hAnsi="Times New Roman"/>
          <w:i/>
          <w:sz w:val="24"/>
          <w:szCs w:val="24"/>
        </w:rPr>
        <w:t>et al</w:t>
      </w:r>
      <w:r w:rsidR="0075318C">
        <w:rPr>
          <w:rFonts w:ascii="Times New Roman" w:hAnsi="Times New Roman"/>
          <w:sz w:val="24"/>
          <w:szCs w:val="24"/>
        </w:rPr>
        <w:t xml:space="preserve">. (1996) find a cohort of UK males wages grow by 3.6% more between 1981 and 1991 if they have participated in employer-funded on-the-job training. For women, the premium was 4.8%. Moreover, for employer funded off-the-job training, the premia were 6.6% and 9.6% respectively. </w:t>
      </w:r>
      <w:r w:rsidR="00C41978">
        <w:rPr>
          <w:rFonts w:ascii="Times New Roman" w:hAnsi="Times New Roman"/>
          <w:sz w:val="24"/>
          <w:szCs w:val="24"/>
        </w:rPr>
        <w:t xml:space="preserve">Similarly, </w:t>
      </w:r>
      <w:r w:rsidR="00C41978" w:rsidRPr="00FC667C">
        <w:rPr>
          <w:rFonts w:ascii="Times New Roman" w:hAnsi="Times New Roman"/>
          <w:sz w:val="24"/>
          <w:szCs w:val="24"/>
        </w:rPr>
        <w:t>Loewenstein and Spletzer (1998)</w:t>
      </w:r>
      <w:r w:rsidR="00C41978">
        <w:rPr>
          <w:rFonts w:ascii="Times New Roman" w:hAnsi="Times New Roman"/>
          <w:sz w:val="24"/>
          <w:szCs w:val="24"/>
        </w:rPr>
        <w:t xml:space="preserve"> found a 3.5% premium to participating in formal company training using US panel data. Note that the wage premia captured by these regressions typically represent a training period that can be measured in weeks, rather than years. Frazis and Loewenstein (2005) estimate (for their baseline specification) a wage premium of 4.5% for the me</w:t>
      </w:r>
      <w:r w:rsidR="0038053F">
        <w:rPr>
          <w:rFonts w:ascii="Times New Roman" w:hAnsi="Times New Roman"/>
          <w:sz w:val="24"/>
          <w:szCs w:val="24"/>
        </w:rPr>
        <w:t>dian training period of 60 hours. This would imply rates of return that far exceed anything found in formal education – in this example, the authors calculate a rate of return of around 150%.</w:t>
      </w:r>
    </w:p>
    <w:p w:rsidR="00A442D0" w:rsidRDefault="0038053F" w:rsidP="00940760">
      <w:pPr>
        <w:spacing w:line="360" w:lineRule="auto"/>
        <w:jc w:val="both"/>
        <w:rPr>
          <w:rFonts w:ascii="Times New Roman" w:hAnsi="Times New Roman"/>
          <w:sz w:val="24"/>
          <w:szCs w:val="24"/>
        </w:rPr>
      </w:pPr>
      <w:r>
        <w:rPr>
          <w:rFonts w:ascii="Times New Roman" w:hAnsi="Times New Roman"/>
          <w:sz w:val="24"/>
          <w:szCs w:val="24"/>
        </w:rPr>
        <w:t>However, fixed effects regressions will not identify the true effect of training</w:t>
      </w:r>
      <w:r w:rsidR="008224A0">
        <w:rPr>
          <w:rFonts w:ascii="Times New Roman" w:hAnsi="Times New Roman"/>
          <w:sz w:val="24"/>
          <w:szCs w:val="24"/>
        </w:rPr>
        <w:t xml:space="preserve"> on wages if the unobserved differences between individuals are not the same before and after training (for example, if those who participate in training tend to have faster wage growth already). There is some evidence that this matters. </w:t>
      </w:r>
      <w:r w:rsidR="00A442D0">
        <w:rPr>
          <w:rFonts w:ascii="Times New Roman" w:hAnsi="Times New Roman"/>
          <w:sz w:val="24"/>
          <w:szCs w:val="24"/>
        </w:rPr>
        <w:t xml:space="preserve">Leuven and Oosterbeek (2008) </w:t>
      </w:r>
      <w:r w:rsidR="00DF7B3B">
        <w:rPr>
          <w:rFonts w:ascii="Times New Roman" w:hAnsi="Times New Roman"/>
          <w:sz w:val="24"/>
          <w:szCs w:val="24"/>
        </w:rPr>
        <w:t>use</w:t>
      </w:r>
      <w:r w:rsidR="00A442D0">
        <w:rPr>
          <w:rFonts w:ascii="Times New Roman" w:hAnsi="Times New Roman"/>
          <w:sz w:val="24"/>
          <w:szCs w:val="24"/>
        </w:rPr>
        <w:t xml:space="preserve"> a unique survey that can identify those who wanted to participate in training but were unable to due to a random even</w:t>
      </w:r>
      <w:r w:rsidR="00135B56">
        <w:rPr>
          <w:rFonts w:ascii="Times New Roman" w:hAnsi="Times New Roman"/>
          <w:sz w:val="24"/>
          <w:szCs w:val="24"/>
        </w:rPr>
        <w:t>t</w:t>
      </w:r>
      <w:r w:rsidR="00A442D0">
        <w:rPr>
          <w:rFonts w:ascii="Times New Roman" w:hAnsi="Times New Roman"/>
          <w:sz w:val="24"/>
          <w:szCs w:val="24"/>
        </w:rPr>
        <w:t xml:space="preserve"> </w:t>
      </w:r>
      <w:r w:rsidR="00A442D0">
        <w:rPr>
          <w:rFonts w:ascii="Times New Roman" w:hAnsi="Times New Roman"/>
          <w:sz w:val="24"/>
          <w:szCs w:val="24"/>
        </w:rPr>
        <w:lastRenderedPageBreak/>
        <w:t>from within the non-trained</w:t>
      </w:r>
      <w:r w:rsidR="00DF7B3B">
        <w:rPr>
          <w:rFonts w:ascii="Times New Roman" w:hAnsi="Times New Roman"/>
          <w:sz w:val="24"/>
          <w:szCs w:val="24"/>
        </w:rPr>
        <w:t xml:space="preserve"> control group. This reduces the unobserved differences between those who receive training and those that do</w:t>
      </w:r>
      <w:r w:rsidR="00C64DEB">
        <w:rPr>
          <w:rFonts w:ascii="Times New Roman" w:hAnsi="Times New Roman"/>
          <w:sz w:val="24"/>
          <w:szCs w:val="24"/>
        </w:rPr>
        <w:t xml:space="preserve"> no</w:t>
      </w:r>
      <w:r w:rsidR="00DF7B3B">
        <w:rPr>
          <w:rFonts w:ascii="Times New Roman" w:hAnsi="Times New Roman"/>
          <w:sz w:val="24"/>
          <w:szCs w:val="24"/>
        </w:rPr>
        <w:t>t. Doing this reduces the wage premium for participating in a training programme from 12.5% to a statistically insignificant 0.6%.</w:t>
      </w:r>
    </w:p>
    <w:p w:rsidR="001D695E" w:rsidRDefault="00EC2EB6" w:rsidP="00940760">
      <w:pPr>
        <w:spacing w:line="360" w:lineRule="auto"/>
        <w:jc w:val="both"/>
        <w:rPr>
          <w:rFonts w:ascii="Times New Roman" w:hAnsi="Times New Roman"/>
          <w:sz w:val="24"/>
          <w:szCs w:val="24"/>
        </w:rPr>
      </w:pPr>
      <w:r>
        <w:rPr>
          <w:rFonts w:ascii="Times New Roman" w:hAnsi="Times New Roman"/>
          <w:sz w:val="24"/>
          <w:szCs w:val="24"/>
        </w:rPr>
        <w:t>S</w:t>
      </w:r>
      <w:r w:rsidR="008B259C">
        <w:rPr>
          <w:rFonts w:ascii="Times New Roman" w:hAnsi="Times New Roman"/>
          <w:sz w:val="24"/>
          <w:szCs w:val="24"/>
        </w:rPr>
        <w:t>ome governments</w:t>
      </w:r>
      <w:r w:rsidR="00F03901">
        <w:rPr>
          <w:rFonts w:ascii="Times New Roman" w:hAnsi="Times New Roman"/>
          <w:sz w:val="24"/>
          <w:szCs w:val="24"/>
        </w:rPr>
        <w:t xml:space="preserve">, such as </w:t>
      </w:r>
      <w:r w:rsidR="00494364">
        <w:rPr>
          <w:rFonts w:ascii="Times New Roman" w:hAnsi="Times New Roman"/>
          <w:sz w:val="24"/>
          <w:szCs w:val="24"/>
        </w:rPr>
        <w:t xml:space="preserve">that of </w:t>
      </w:r>
      <w:r w:rsidR="00F03901">
        <w:rPr>
          <w:rFonts w:ascii="Times New Roman" w:hAnsi="Times New Roman"/>
          <w:sz w:val="24"/>
          <w:szCs w:val="24"/>
        </w:rPr>
        <w:t>the UK,</w:t>
      </w:r>
      <w:r w:rsidR="008B259C">
        <w:rPr>
          <w:rFonts w:ascii="Times New Roman" w:hAnsi="Times New Roman"/>
          <w:sz w:val="24"/>
          <w:szCs w:val="24"/>
        </w:rPr>
        <w:t xml:space="preserve"> are heavily </w:t>
      </w:r>
      <w:r>
        <w:rPr>
          <w:rFonts w:ascii="Times New Roman" w:hAnsi="Times New Roman"/>
          <w:sz w:val="24"/>
          <w:szCs w:val="24"/>
        </w:rPr>
        <w:t xml:space="preserve">involved in workplace training due to a concern that currently firms are underinvesting, which largely follows from some of the higher estimates of wage returns. Even if these estimates were true – and reasons to worry about them have certainly been </w:t>
      </w:r>
      <w:r w:rsidR="00C64DEB">
        <w:rPr>
          <w:rFonts w:ascii="Times New Roman" w:hAnsi="Times New Roman"/>
          <w:sz w:val="24"/>
          <w:szCs w:val="24"/>
        </w:rPr>
        <w:t xml:space="preserve">advanced </w:t>
      </w:r>
      <w:r>
        <w:rPr>
          <w:rFonts w:ascii="Times New Roman" w:hAnsi="Times New Roman"/>
          <w:sz w:val="24"/>
          <w:szCs w:val="24"/>
        </w:rPr>
        <w:t>in this section – recognising the role of the demand side of the labour market when interpreting wage premia is as important here as I argued it was for formal education</w:t>
      </w:r>
      <w:r w:rsidR="00135B56">
        <w:rPr>
          <w:rFonts w:ascii="Times New Roman" w:hAnsi="Times New Roman"/>
          <w:sz w:val="24"/>
          <w:szCs w:val="24"/>
        </w:rPr>
        <w:t xml:space="preserve"> and training</w:t>
      </w:r>
      <w:r>
        <w:rPr>
          <w:rFonts w:ascii="Times New Roman" w:hAnsi="Times New Roman"/>
          <w:sz w:val="24"/>
          <w:szCs w:val="24"/>
        </w:rPr>
        <w:t>. When firms offer training, they are able to ma</w:t>
      </w:r>
      <w:r w:rsidR="004B6AC0">
        <w:rPr>
          <w:rFonts w:ascii="Times New Roman" w:hAnsi="Times New Roman"/>
          <w:sz w:val="24"/>
          <w:szCs w:val="24"/>
        </w:rPr>
        <w:t xml:space="preserve">tch up the programme with the specific skill requirements of </w:t>
      </w:r>
      <w:r>
        <w:rPr>
          <w:rFonts w:ascii="Times New Roman" w:hAnsi="Times New Roman"/>
          <w:sz w:val="24"/>
          <w:szCs w:val="24"/>
        </w:rPr>
        <w:t xml:space="preserve">the jobs their trainees will </w:t>
      </w:r>
      <w:r w:rsidR="004B6AC0">
        <w:rPr>
          <w:rFonts w:ascii="Times New Roman" w:hAnsi="Times New Roman"/>
          <w:sz w:val="24"/>
          <w:szCs w:val="24"/>
        </w:rPr>
        <w:t>ultimately move into</w:t>
      </w:r>
      <w:r>
        <w:rPr>
          <w:rFonts w:ascii="Times New Roman" w:hAnsi="Times New Roman"/>
          <w:sz w:val="24"/>
          <w:szCs w:val="24"/>
        </w:rPr>
        <w:t>.</w:t>
      </w:r>
      <w:r w:rsidR="00BA2F83">
        <w:rPr>
          <w:rFonts w:ascii="Times New Roman" w:hAnsi="Times New Roman"/>
          <w:sz w:val="24"/>
          <w:szCs w:val="24"/>
        </w:rPr>
        <w:t xml:space="preserve"> If they do</w:t>
      </w:r>
      <w:r w:rsidR="00C64DEB">
        <w:rPr>
          <w:rFonts w:ascii="Times New Roman" w:hAnsi="Times New Roman"/>
          <w:sz w:val="24"/>
          <w:szCs w:val="24"/>
        </w:rPr>
        <w:t xml:space="preserve"> no</w:t>
      </w:r>
      <w:r w:rsidR="00BA2F83">
        <w:rPr>
          <w:rFonts w:ascii="Times New Roman" w:hAnsi="Times New Roman"/>
          <w:sz w:val="24"/>
          <w:szCs w:val="24"/>
        </w:rPr>
        <w:t>t have greater skill needs that would generate the greater productivity</w:t>
      </w:r>
      <w:r w:rsidR="004B6AC0">
        <w:rPr>
          <w:rFonts w:ascii="Times New Roman" w:hAnsi="Times New Roman"/>
          <w:sz w:val="24"/>
          <w:szCs w:val="24"/>
        </w:rPr>
        <w:t xml:space="preserve"> </w:t>
      </w:r>
      <w:r w:rsidR="00BA2F83">
        <w:rPr>
          <w:rFonts w:ascii="Times New Roman" w:hAnsi="Times New Roman"/>
          <w:sz w:val="24"/>
          <w:szCs w:val="24"/>
        </w:rPr>
        <w:t xml:space="preserve">that allows for the payment of higher wages to try to retain those they train, they </w:t>
      </w:r>
      <w:r w:rsidR="00C64DEB">
        <w:rPr>
          <w:rFonts w:ascii="Times New Roman" w:hAnsi="Times New Roman"/>
          <w:sz w:val="24"/>
          <w:szCs w:val="24"/>
        </w:rPr>
        <w:t xml:space="preserve">will not </w:t>
      </w:r>
      <w:r w:rsidR="00BA2F83">
        <w:rPr>
          <w:rFonts w:ascii="Times New Roman" w:hAnsi="Times New Roman"/>
          <w:sz w:val="24"/>
          <w:szCs w:val="24"/>
        </w:rPr>
        <w:t>offer training.</w:t>
      </w:r>
      <w:r w:rsidR="008B259C">
        <w:rPr>
          <w:rFonts w:ascii="Times New Roman" w:hAnsi="Times New Roman"/>
          <w:sz w:val="24"/>
          <w:szCs w:val="24"/>
        </w:rPr>
        <w:t xml:space="preserve"> Hence, unobserved differences in the types of firms offering training to their employees is as important to consider as unobserved differences in individual abilities – so, for example, larger firms with hierarchies of increasingly demanding jobs tend to provide more training (to meet the needs of the different levels) and offer greater wage growth (through internal promotion of those who have sufficient skills to progress).</w:t>
      </w:r>
      <w:r w:rsidR="00BA2F83">
        <w:rPr>
          <w:rFonts w:ascii="Times New Roman" w:hAnsi="Times New Roman"/>
          <w:sz w:val="24"/>
          <w:szCs w:val="24"/>
        </w:rPr>
        <w:t xml:space="preserve"> </w:t>
      </w:r>
      <w:r w:rsidR="004B6AC0">
        <w:rPr>
          <w:rFonts w:ascii="Times New Roman" w:hAnsi="Times New Roman"/>
          <w:sz w:val="24"/>
          <w:szCs w:val="24"/>
        </w:rPr>
        <w:t>If governments provide or subsidise additional training that firms would otherwise have not provided</w:t>
      </w:r>
      <w:r w:rsidR="00BA2F83">
        <w:rPr>
          <w:rFonts w:ascii="Times New Roman" w:hAnsi="Times New Roman"/>
          <w:sz w:val="24"/>
          <w:szCs w:val="24"/>
        </w:rPr>
        <w:t xml:space="preserve"> (as in the case of the UK Train to Gain scheme under the 1997-2010 Labour government)</w:t>
      </w:r>
      <w:r w:rsidR="004B6AC0">
        <w:rPr>
          <w:rFonts w:ascii="Times New Roman" w:hAnsi="Times New Roman"/>
          <w:sz w:val="24"/>
          <w:szCs w:val="24"/>
        </w:rPr>
        <w:t xml:space="preserve">, then they rely on something changing about the available jobs and the demand for skills. </w:t>
      </w:r>
      <w:r w:rsidR="00BA2F83">
        <w:rPr>
          <w:rFonts w:ascii="Times New Roman" w:hAnsi="Times New Roman"/>
          <w:sz w:val="24"/>
          <w:szCs w:val="24"/>
        </w:rPr>
        <w:t>If it does</w:t>
      </w:r>
      <w:r w:rsidR="00C64DEB">
        <w:rPr>
          <w:rFonts w:ascii="Times New Roman" w:hAnsi="Times New Roman"/>
          <w:sz w:val="24"/>
          <w:szCs w:val="24"/>
        </w:rPr>
        <w:t xml:space="preserve"> no</w:t>
      </w:r>
      <w:r w:rsidR="00BA2F83">
        <w:rPr>
          <w:rFonts w:ascii="Times New Roman" w:hAnsi="Times New Roman"/>
          <w:sz w:val="24"/>
          <w:szCs w:val="24"/>
        </w:rPr>
        <w:t>t, which has been a concern about UK training policies that goes back at least as far as Finegold and Soskice (1988), then little wage return can be expected for participants.</w:t>
      </w:r>
      <w:r w:rsidR="008B259C">
        <w:rPr>
          <w:rFonts w:ascii="Times New Roman" w:hAnsi="Times New Roman"/>
          <w:sz w:val="24"/>
          <w:szCs w:val="24"/>
        </w:rPr>
        <w:t xml:space="preserve"> It is perhaps no coincidence that the estimate wage premia to the lower level qualifications which tend to accompany such schemes are essentially zero (Conlon, </w:t>
      </w:r>
      <w:r w:rsidR="008B259C" w:rsidRPr="008B259C">
        <w:rPr>
          <w:rFonts w:ascii="Times New Roman" w:hAnsi="Times New Roman"/>
          <w:sz w:val="24"/>
          <w:szCs w:val="24"/>
        </w:rPr>
        <w:t>Patrignani and Chapman</w:t>
      </w:r>
      <w:r w:rsidR="008B259C">
        <w:rPr>
          <w:rFonts w:ascii="Times New Roman" w:hAnsi="Times New Roman"/>
          <w:sz w:val="24"/>
          <w:szCs w:val="24"/>
        </w:rPr>
        <w:t>, 2011; McIntosh, 2006).</w:t>
      </w:r>
    </w:p>
    <w:p w:rsidR="00793A4A" w:rsidRPr="00793A4A" w:rsidRDefault="00793A4A" w:rsidP="00940760">
      <w:pPr>
        <w:spacing w:line="360" w:lineRule="auto"/>
        <w:jc w:val="both"/>
        <w:rPr>
          <w:rFonts w:ascii="Times New Roman" w:hAnsi="Times New Roman"/>
          <w:b/>
          <w:sz w:val="24"/>
          <w:szCs w:val="24"/>
        </w:rPr>
      </w:pPr>
      <w:r w:rsidRPr="00793A4A">
        <w:rPr>
          <w:rFonts w:ascii="Times New Roman" w:hAnsi="Times New Roman"/>
          <w:b/>
          <w:sz w:val="24"/>
          <w:szCs w:val="24"/>
        </w:rPr>
        <w:t>Conclusion</w:t>
      </w:r>
    </w:p>
    <w:p w:rsidR="00C64DEB" w:rsidRDefault="00135B56" w:rsidP="00E108C6">
      <w:pPr>
        <w:spacing w:line="360" w:lineRule="auto"/>
        <w:jc w:val="both"/>
        <w:rPr>
          <w:rFonts w:ascii="Times New Roman" w:hAnsi="Times New Roman"/>
          <w:sz w:val="24"/>
          <w:szCs w:val="24"/>
        </w:rPr>
      </w:pPr>
      <w:r>
        <w:rPr>
          <w:rFonts w:ascii="Times New Roman" w:hAnsi="Times New Roman"/>
          <w:sz w:val="24"/>
          <w:szCs w:val="24"/>
        </w:rPr>
        <w:t xml:space="preserve">In principle, the </w:t>
      </w:r>
      <w:r w:rsidR="00E15C22">
        <w:rPr>
          <w:rFonts w:ascii="Times New Roman" w:hAnsi="Times New Roman"/>
          <w:sz w:val="24"/>
          <w:szCs w:val="24"/>
        </w:rPr>
        <w:t xml:space="preserve">individual rates of return to education and training are valuable pieces of information to have, not only for individual’s considering whether or not to participate in a particular programme, but also for policy makers and governments as a justification for public investment in skills. As a result, there </w:t>
      </w:r>
      <w:r w:rsidR="00C64DEB">
        <w:rPr>
          <w:rFonts w:ascii="Times New Roman" w:hAnsi="Times New Roman"/>
          <w:sz w:val="24"/>
          <w:szCs w:val="24"/>
        </w:rPr>
        <w:t xml:space="preserve">is </w:t>
      </w:r>
      <w:r w:rsidR="00E15C22">
        <w:rPr>
          <w:rFonts w:ascii="Times New Roman" w:hAnsi="Times New Roman"/>
          <w:sz w:val="24"/>
          <w:szCs w:val="24"/>
        </w:rPr>
        <w:t>a huge array of studies which have looked to estim</w:t>
      </w:r>
      <w:r w:rsidR="007B3894">
        <w:rPr>
          <w:rFonts w:ascii="Times New Roman" w:hAnsi="Times New Roman"/>
          <w:sz w:val="24"/>
          <w:szCs w:val="24"/>
        </w:rPr>
        <w:t xml:space="preserve">ate them for all sorts of skill investments. This chapter has explained the main approaches </w:t>
      </w:r>
      <w:r>
        <w:rPr>
          <w:rFonts w:ascii="Times New Roman" w:hAnsi="Times New Roman"/>
          <w:sz w:val="24"/>
          <w:szCs w:val="24"/>
        </w:rPr>
        <w:t xml:space="preserve">employed </w:t>
      </w:r>
      <w:r w:rsidR="007B3894">
        <w:rPr>
          <w:rFonts w:ascii="Times New Roman" w:hAnsi="Times New Roman"/>
          <w:sz w:val="24"/>
          <w:szCs w:val="24"/>
        </w:rPr>
        <w:t xml:space="preserve">to </w:t>
      </w:r>
      <w:r w:rsidR="00C64DEB">
        <w:rPr>
          <w:rFonts w:ascii="Times New Roman" w:hAnsi="Times New Roman"/>
          <w:sz w:val="24"/>
          <w:szCs w:val="24"/>
        </w:rPr>
        <w:t xml:space="preserve">generate </w:t>
      </w:r>
      <w:r w:rsidR="007B3894">
        <w:rPr>
          <w:rFonts w:ascii="Times New Roman" w:hAnsi="Times New Roman"/>
          <w:sz w:val="24"/>
          <w:szCs w:val="24"/>
        </w:rPr>
        <w:t>these estimates,</w:t>
      </w:r>
      <w:r>
        <w:rPr>
          <w:rFonts w:ascii="Times New Roman" w:hAnsi="Times New Roman"/>
          <w:sz w:val="24"/>
          <w:szCs w:val="24"/>
        </w:rPr>
        <w:t xml:space="preserve"> </w:t>
      </w:r>
      <w:r w:rsidR="00F03901">
        <w:rPr>
          <w:rFonts w:ascii="Times New Roman" w:hAnsi="Times New Roman"/>
          <w:sz w:val="24"/>
          <w:szCs w:val="24"/>
        </w:rPr>
        <w:t xml:space="preserve">and showed that a wide </w:t>
      </w:r>
      <w:r w:rsidR="00C64DEB">
        <w:rPr>
          <w:rFonts w:ascii="Times New Roman" w:hAnsi="Times New Roman"/>
          <w:sz w:val="24"/>
          <w:szCs w:val="24"/>
        </w:rPr>
        <w:t>range of returns</w:t>
      </w:r>
      <w:r w:rsidR="00F03901">
        <w:rPr>
          <w:rFonts w:ascii="Times New Roman" w:hAnsi="Times New Roman"/>
          <w:sz w:val="24"/>
          <w:szCs w:val="24"/>
        </w:rPr>
        <w:t xml:space="preserve"> have </w:t>
      </w:r>
      <w:r w:rsidR="00C64DEB">
        <w:rPr>
          <w:rFonts w:ascii="Times New Roman" w:hAnsi="Times New Roman"/>
          <w:sz w:val="24"/>
          <w:szCs w:val="24"/>
        </w:rPr>
        <w:t xml:space="preserve">be found </w:t>
      </w:r>
      <w:r w:rsidR="00F03901">
        <w:rPr>
          <w:rFonts w:ascii="Times New Roman" w:hAnsi="Times New Roman"/>
          <w:sz w:val="24"/>
          <w:szCs w:val="24"/>
        </w:rPr>
        <w:lastRenderedPageBreak/>
        <w:t>over the past couple of decades, depending on country</w:t>
      </w:r>
      <w:r>
        <w:rPr>
          <w:rFonts w:ascii="Times New Roman" w:hAnsi="Times New Roman"/>
          <w:sz w:val="24"/>
          <w:szCs w:val="24"/>
        </w:rPr>
        <w:t xml:space="preserve">, </w:t>
      </w:r>
      <w:r w:rsidR="00F03901">
        <w:rPr>
          <w:rFonts w:ascii="Times New Roman" w:hAnsi="Times New Roman"/>
          <w:sz w:val="24"/>
          <w:szCs w:val="24"/>
        </w:rPr>
        <w:t>level of education</w:t>
      </w:r>
      <w:r>
        <w:rPr>
          <w:rFonts w:ascii="Times New Roman" w:hAnsi="Times New Roman"/>
          <w:sz w:val="24"/>
          <w:szCs w:val="24"/>
        </w:rPr>
        <w:t xml:space="preserve"> as well as</w:t>
      </w:r>
      <w:r w:rsidR="00F03901">
        <w:rPr>
          <w:rFonts w:ascii="Times New Roman" w:hAnsi="Times New Roman"/>
          <w:sz w:val="24"/>
          <w:szCs w:val="24"/>
        </w:rPr>
        <w:t xml:space="preserve"> methodological choices made by researchers. </w:t>
      </w:r>
      <w:r w:rsidR="005B344A">
        <w:rPr>
          <w:rFonts w:ascii="Times New Roman" w:hAnsi="Times New Roman"/>
          <w:sz w:val="24"/>
          <w:szCs w:val="24"/>
        </w:rPr>
        <w:t>A lot of effort has gone into dealing with the issue of ability bias, but as this chapter has explained, no consensus exists of the size of this bias.</w:t>
      </w:r>
    </w:p>
    <w:p w:rsidR="008043EC" w:rsidRDefault="00C64DEB" w:rsidP="00E108C6">
      <w:pPr>
        <w:spacing w:line="360" w:lineRule="auto"/>
        <w:jc w:val="both"/>
        <w:rPr>
          <w:rFonts w:ascii="Times New Roman" w:hAnsi="Times New Roman"/>
          <w:sz w:val="24"/>
          <w:szCs w:val="24"/>
        </w:rPr>
      </w:pPr>
      <w:r>
        <w:rPr>
          <w:rFonts w:ascii="Times New Roman" w:hAnsi="Times New Roman"/>
          <w:sz w:val="24"/>
          <w:szCs w:val="24"/>
        </w:rPr>
        <w:t xml:space="preserve">Whatever </w:t>
      </w:r>
      <w:r w:rsidR="009C5A8D">
        <w:rPr>
          <w:rFonts w:ascii="Times New Roman" w:hAnsi="Times New Roman"/>
          <w:sz w:val="24"/>
          <w:szCs w:val="24"/>
        </w:rPr>
        <w:t>estimates result</w:t>
      </w:r>
      <w:r>
        <w:rPr>
          <w:rFonts w:ascii="Times New Roman" w:hAnsi="Times New Roman"/>
          <w:sz w:val="24"/>
          <w:szCs w:val="24"/>
        </w:rPr>
        <w:t xml:space="preserve">, however, </w:t>
      </w:r>
      <w:r w:rsidR="009D55AD">
        <w:rPr>
          <w:rFonts w:ascii="Times New Roman" w:hAnsi="Times New Roman"/>
          <w:sz w:val="24"/>
          <w:szCs w:val="24"/>
        </w:rPr>
        <w:t>are almost invariably interpreted through the lens of human capital theory, where the existence o</w:t>
      </w:r>
      <w:r w:rsidR="008A77A7">
        <w:rPr>
          <w:rFonts w:ascii="Times New Roman" w:hAnsi="Times New Roman"/>
          <w:sz w:val="24"/>
          <w:szCs w:val="24"/>
        </w:rPr>
        <w:t xml:space="preserve">f a wage premium indicates additional </w:t>
      </w:r>
      <w:r w:rsidR="009D55AD">
        <w:rPr>
          <w:rFonts w:ascii="Times New Roman" w:hAnsi="Times New Roman"/>
          <w:sz w:val="24"/>
          <w:szCs w:val="24"/>
        </w:rPr>
        <w:t xml:space="preserve">productivity due to </w:t>
      </w:r>
      <w:r w:rsidR="008A77A7">
        <w:rPr>
          <w:rFonts w:ascii="Times New Roman" w:hAnsi="Times New Roman"/>
          <w:sz w:val="24"/>
          <w:szCs w:val="24"/>
        </w:rPr>
        <w:t>skill</w:t>
      </w:r>
      <w:r w:rsidR="009D55AD">
        <w:rPr>
          <w:rFonts w:ascii="Times New Roman" w:hAnsi="Times New Roman"/>
          <w:sz w:val="24"/>
          <w:szCs w:val="24"/>
        </w:rPr>
        <w:t xml:space="preserve"> investment. </w:t>
      </w:r>
      <w:r w:rsidR="005B344A">
        <w:rPr>
          <w:rFonts w:ascii="Times New Roman" w:hAnsi="Times New Roman"/>
          <w:sz w:val="24"/>
          <w:szCs w:val="24"/>
        </w:rPr>
        <w:t xml:space="preserve">Far too little attention is given to the possibility that </w:t>
      </w:r>
      <w:r w:rsidR="008A77A7">
        <w:rPr>
          <w:rFonts w:ascii="Times New Roman" w:hAnsi="Times New Roman"/>
          <w:sz w:val="24"/>
          <w:szCs w:val="24"/>
        </w:rPr>
        <w:t xml:space="preserve">the results of these regressions may actually represent a world where skill demands </w:t>
      </w:r>
      <w:r w:rsidR="008043EC">
        <w:rPr>
          <w:rFonts w:ascii="Times New Roman" w:hAnsi="Times New Roman"/>
          <w:sz w:val="24"/>
          <w:szCs w:val="24"/>
        </w:rPr>
        <w:t xml:space="preserve">are relative constant and </w:t>
      </w:r>
      <w:r w:rsidR="008A77A7">
        <w:rPr>
          <w:rFonts w:ascii="Times New Roman" w:hAnsi="Times New Roman"/>
          <w:sz w:val="24"/>
          <w:szCs w:val="24"/>
        </w:rPr>
        <w:t>constrain labour market outcomes</w:t>
      </w:r>
      <w:r w:rsidR="008043EC">
        <w:rPr>
          <w:rFonts w:ascii="Times New Roman" w:hAnsi="Times New Roman"/>
          <w:sz w:val="24"/>
          <w:szCs w:val="24"/>
        </w:rPr>
        <w:t xml:space="preserve">, so that </w:t>
      </w:r>
      <w:r w:rsidR="008A77A7">
        <w:rPr>
          <w:rFonts w:ascii="Times New Roman" w:hAnsi="Times New Roman"/>
          <w:sz w:val="24"/>
          <w:szCs w:val="24"/>
        </w:rPr>
        <w:t>the</w:t>
      </w:r>
      <w:r w:rsidR="001B2828">
        <w:rPr>
          <w:rFonts w:ascii="Times New Roman" w:hAnsi="Times New Roman"/>
          <w:sz w:val="24"/>
          <w:szCs w:val="24"/>
        </w:rPr>
        <w:t xml:space="preserve"> main function of education is to compete for whatever jobs</w:t>
      </w:r>
      <w:r w:rsidR="008A77A7">
        <w:rPr>
          <w:rFonts w:ascii="Times New Roman" w:hAnsi="Times New Roman"/>
          <w:sz w:val="24"/>
          <w:szCs w:val="24"/>
        </w:rPr>
        <w:t xml:space="preserve"> the labour market is providing. </w:t>
      </w:r>
      <w:r w:rsidR="008043EC">
        <w:rPr>
          <w:rFonts w:ascii="Times New Roman" w:hAnsi="Times New Roman"/>
          <w:sz w:val="24"/>
          <w:szCs w:val="24"/>
        </w:rPr>
        <w:t xml:space="preserve">However, in terms of the issues surveyed in this chapter, much of it can be well explained by this alternative view. Increased variability in the distribution of returns, coupled with low marginal returns would certainly be predicted by such a model. An inability to explain returns to education as solely being related to skill differences would also fit. Moreover, this model suggests that ability bias ceases to be the main omitted variable of concern – employer demand for skill and job design </w:t>
      </w:r>
      <w:r w:rsidR="006D6982">
        <w:rPr>
          <w:rFonts w:ascii="Times New Roman" w:hAnsi="Times New Roman"/>
          <w:sz w:val="24"/>
          <w:szCs w:val="24"/>
        </w:rPr>
        <w:t>are far more relevant</w:t>
      </w:r>
      <w:r w:rsidR="008043EC">
        <w:rPr>
          <w:rFonts w:ascii="Times New Roman" w:hAnsi="Times New Roman"/>
          <w:sz w:val="24"/>
          <w:szCs w:val="24"/>
        </w:rPr>
        <w:t xml:space="preserve">. </w:t>
      </w:r>
    </w:p>
    <w:p w:rsidR="00737682" w:rsidRDefault="00E5474C" w:rsidP="00E108C6">
      <w:pPr>
        <w:spacing w:line="360" w:lineRule="auto"/>
        <w:jc w:val="both"/>
        <w:rPr>
          <w:rFonts w:ascii="Times New Roman" w:hAnsi="Times New Roman"/>
          <w:sz w:val="24"/>
          <w:szCs w:val="24"/>
        </w:rPr>
      </w:pPr>
      <w:r>
        <w:rPr>
          <w:rFonts w:ascii="Times New Roman" w:hAnsi="Times New Roman"/>
          <w:sz w:val="24"/>
          <w:szCs w:val="24"/>
        </w:rPr>
        <w:t>These issues should be a concern for individuals looking to make investments in skills – they still imply that private rewards exist on average for those that make investments, but they might be lower or more risky that currently assumed. From the perspective of policymakers, the problems are much greater, as they would mean that private returns cannot be easily equated to the broader benefits to society. T</w:t>
      </w:r>
      <w:r w:rsidR="006D6982">
        <w:rPr>
          <w:rFonts w:ascii="Times New Roman" w:hAnsi="Times New Roman"/>
          <w:sz w:val="24"/>
          <w:szCs w:val="24"/>
        </w:rPr>
        <w:t>his chapter has argued that when demand for</w:t>
      </w:r>
      <w:r w:rsidR="00E34DAD">
        <w:rPr>
          <w:rFonts w:ascii="Times New Roman" w:hAnsi="Times New Roman"/>
          <w:sz w:val="24"/>
          <w:szCs w:val="24"/>
        </w:rPr>
        <w:t xml:space="preserve"> skills do not increase in line with </w:t>
      </w:r>
      <w:r w:rsidR="006D6982">
        <w:rPr>
          <w:rFonts w:ascii="Times New Roman" w:hAnsi="Times New Roman"/>
          <w:sz w:val="24"/>
          <w:szCs w:val="24"/>
        </w:rPr>
        <w:t xml:space="preserve">supply, estimated </w:t>
      </w:r>
      <w:r w:rsidR="00737682">
        <w:rPr>
          <w:rFonts w:ascii="Times New Roman" w:hAnsi="Times New Roman"/>
          <w:sz w:val="24"/>
          <w:szCs w:val="24"/>
        </w:rPr>
        <w:t xml:space="preserve">wage </w:t>
      </w:r>
      <w:bookmarkStart w:id="0" w:name="_GoBack"/>
      <w:bookmarkEnd w:id="0"/>
      <w:r w:rsidR="00737682">
        <w:rPr>
          <w:rFonts w:ascii="Times New Roman" w:hAnsi="Times New Roman"/>
          <w:sz w:val="24"/>
          <w:szCs w:val="24"/>
        </w:rPr>
        <w:t xml:space="preserve">premia </w:t>
      </w:r>
      <w:r w:rsidR="00E108C6">
        <w:rPr>
          <w:rFonts w:ascii="Times New Roman" w:hAnsi="Times New Roman"/>
          <w:sz w:val="24"/>
          <w:szCs w:val="24"/>
        </w:rPr>
        <w:t>no longer indicate where further investment could raise</w:t>
      </w:r>
      <w:r w:rsidR="00737682">
        <w:rPr>
          <w:rFonts w:ascii="Times New Roman" w:hAnsi="Times New Roman"/>
          <w:sz w:val="24"/>
          <w:szCs w:val="24"/>
        </w:rPr>
        <w:t xml:space="preserve"> productivity</w:t>
      </w:r>
      <w:r w:rsidR="006D6982">
        <w:rPr>
          <w:rFonts w:ascii="Times New Roman" w:hAnsi="Times New Roman"/>
          <w:sz w:val="24"/>
          <w:szCs w:val="24"/>
        </w:rPr>
        <w:t xml:space="preserve"> </w:t>
      </w:r>
      <w:r w:rsidR="00E34DAD">
        <w:rPr>
          <w:rFonts w:ascii="Times New Roman" w:hAnsi="Times New Roman"/>
          <w:sz w:val="24"/>
          <w:szCs w:val="24"/>
        </w:rPr>
        <w:t>or r</w:t>
      </w:r>
      <w:r w:rsidR="00E108C6">
        <w:rPr>
          <w:rFonts w:ascii="Times New Roman" w:hAnsi="Times New Roman"/>
          <w:sz w:val="24"/>
          <w:szCs w:val="24"/>
        </w:rPr>
        <w:t>educe inequalities in the distribution of income</w:t>
      </w:r>
      <w:r>
        <w:rPr>
          <w:rFonts w:ascii="Times New Roman" w:hAnsi="Times New Roman"/>
          <w:sz w:val="24"/>
          <w:szCs w:val="24"/>
        </w:rPr>
        <w:t>, as the sit</w:t>
      </w:r>
      <w:r w:rsidR="00E34DAD">
        <w:rPr>
          <w:rFonts w:ascii="Times New Roman" w:hAnsi="Times New Roman"/>
          <w:sz w:val="24"/>
          <w:szCs w:val="24"/>
        </w:rPr>
        <w:t>uation becomes closer to a zero-</w:t>
      </w:r>
      <w:r>
        <w:rPr>
          <w:rFonts w:ascii="Times New Roman" w:hAnsi="Times New Roman"/>
          <w:sz w:val="24"/>
          <w:szCs w:val="24"/>
        </w:rPr>
        <w:t>sum game</w:t>
      </w:r>
      <w:r w:rsidR="00E108C6">
        <w:rPr>
          <w:rFonts w:ascii="Times New Roman" w:hAnsi="Times New Roman"/>
          <w:sz w:val="24"/>
          <w:szCs w:val="24"/>
        </w:rPr>
        <w:t xml:space="preserve">. </w:t>
      </w:r>
      <w:r>
        <w:rPr>
          <w:rFonts w:ascii="Times New Roman" w:hAnsi="Times New Roman"/>
          <w:sz w:val="24"/>
          <w:szCs w:val="24"/>
        </w:rPr>
        <w:t>From there, i</w:t>
      </w:r>
      <w:r w:rsidR="009C5A8D">
        <w:rPr>
          <w:rFonts w:ascii="Times New Roman" w:hAnsi="Times New Roman"/>
          <w:sz w:val="24"/>
          <w:szCs w:val="24"/>
        </w:rPr>
        <w:t xml:space="preserve">t is not </w:t>
      </w:r>
      <w:r>
        <w:rPr>
          <w:rFonts w:ascii="Times New Roman" w:hAnsi="Times New Roman"/>
          <w:sz w:val="24"/>
          <w:szCs w:val="24"/>
        </w:rPr>
        <w:t>a large leap to argue that</w:t>
      </w:r>
      <w:r w:rsidR="00E34DAD">
        <w:rPr>
          <w:rFonts w:ascii="Times New Roman" w:hAnsi="Times New Roman"/>
          <w:sz w:val="24"/>
          <w:szCs w:val="24"/>
        </w:rPr>
        <w:t>, at present, too much emphasis is placed on</w:t>
      </w:r>
      <w:r>
        <w:rPr>
          <w:rFonts w:ascii="Times New Roman" w:hAnsi="Times New Roman"/>
          <w:sz w:val="24"/>
          <w:szCs w:val="24"/>
        </w:rPr>
        <w:t xml:space="preserve"> </w:t>
      </w:r>
      <w:r w:rsidR="00E34DAD">
        <w:rPr>
          <w:rFonts w:ascii="Times New Roman" w:hAnsi="Times New Roman"/>
          <w:sz w:val="24"/>
          <w:szCs w:val="24"/>
        </w:rPr>
        <w:t xml:space="preserve">producing and reporting </w:t>
      </w:r>
      <w:r>
        <w:rPr>
          <w:rFonts w:ascii="Times New Roman" w:hAnsi="Times New Roman"/>
          <w:sz w:val="24"/>
          <w:szCs w:val="24"/>
        </w:rPr>
        <w:t>rate of return analyses</w:t>
      </w:r>
      <w:r w:rsidR="00E34DAD">
        <w:rPr>
          <w:rFonts w:ascii="Times New Roman" w:hAnsi="Times New Roman"/>
          <w:sz w:val="24"/>
          <w:szCs w:val="24"/>
        </w:rPr>
        <w:t xml:space="preserve"> whenever skills, education or labour market policy is being discussed</w:t>
      </w:r>
      <w:r>
        <w:rPr>
          <w:rFonts w:ascii="Times New Roman" w:hAnsi="Times New Roman"/>
          <w:sz w:val="24"/>
          <w:szCs w:val="24"/>
        </w:rPr>
        <w:t xml:space="preserve">. If they are not to be discarded entirely, at the very least they should be combined with a greater awareness </w:t>
      </w:r>
      <w:r w:rsidR="00E34DAD">
        <w:rPr>
          <w:rFonts w:ascii="Times New Roman" w:hAnsi="Times New Roman"/>
          <w:sz w:val="24"/>
          <w:szCs w:val="24"/>
        </w:rPr>
        <w:t xml:space="preserve">of or – more </w:t>
      </w:r>
      <w:r>
        <w:rPr>
          <w:rFonts w:ascii="Times New Roman" w:hAnsi="Times New Roman"/>
          <w:sz w:val="24"/>
          <w:szCs w:val="24"/>
        </w:rPr>
        <w:t>preferabl</w:t>
      </w:r>
      <w:r w:rsidR="00E34DAD">
        <w:rPr>
          <w:rFonts w:ascii="Times New Roman" w:hAnsi="Times New Roman"/>
          <w:sz w:val="24"/>
          <w:szCs w:val="24"/>
        </w:rPr>
        <w:t>y – a variety of additional evidence that speaks to</w:t>
      </w:r>
      <w:r>
        <w:rPr>
          <w:rFonts w:ascii="Times New Roman" w:hAnsi="Times New Roman"/>
          <w:sz w:val="24"/>
          <w:szCs w:val="24"/>
        </w:rPr>
        <w:t xml:space="preserve"> </w:t>
      </w:r>
      <w:r w:rsidR="00E34DAD">
        <w:rPr>
          <w:rFonts w:ascii="Times New Roman" w:hAnsi="Times New Roman"/>
          <w:sz w:val="24"/>
          <w:szCs w:val="24"/>
        </w:rPr>
        <w:t>the existing and future demand for skills.</w:t>
      </w:r>
    </w:p>
    <w:p w:rsidR="008163D3" w:rsidRDefault="008163D3" w:rsidP="00E15C22">
      <w:pPr>
        <w:spacing w:line="360" w:lineRule="auto"/>
        <w:jc w:val="both"/>
        <w:rPr>
          <w:rFonts w:ascii="Times New Roman" w:hAnsi="Times New Roman"/>
          <w:sz w:val="24"/>
          <w:szCs w:val="24"/>
        </w:rPr>
      </w:pPr>
    </w:p>
    <w:p w:rsidR="00F03901" w:rsidRDefault="00F03901" w:rsidP="00E15C22">
      <w:pPr>
        <w:spacing w:line="360" w:lineRule="auto"/>
        <w:jc w:val="both"/>
        <w:rPr>
          <w:rFonts w:ascii="Times New Roman" w:hAnsi="Times New Roman"/>
          <w:sz w:val="24"/>
          <w:szCs w:val="24"/>
        </w:rPr>
      </w:pPr>
    </w:p>
    <w:p w:rsidR="00F03901" w:rsidRDefault="00F03901" w:rsidP="00E15C22">
      <w:pPr>
        <w:spacing w:line="360" w:lineRule="auto"/>
        <w:jc w:val="both"/>
        <w:rPr>
          <w:rFonts w:ascii="Times New Roman" w:hAnsi="Times New Roman"/>
          <w:sz w:val="24"/>
          <w:szCs w:val="24"/>
        </w:rPr>
      </w:pPr>
      <w:r>
        <w:rPr>
          <w:rFonts w:ascii="Times New Roman" w:hAnsi="Times New Roman"/>
          <w:sz w:val="24"/>
          <w:szCs w:val="24"/>
        </w:rPr>
        <w:t>.</w:t>
      </w:r>
    </w:p>
    <w:p w:rsidR="007B3894" w:rsidRDefault="007B3894" w:rsidP="00E15C22">
      <w:pPr>
        <w:spacing w:line="360" w:lineRule="auto"/>
        <w:jc w:val="both"/>
        <w:rPr>
          <w:rFonts w:ascii="Times New Roman" w:hAnsi="Times New Roman"/>
          <w:sz w:val="24"/>
          <w:szCs w:val="24"/>
        </w:rPr>
      </w:pPr>
    </w:p>
    <w:p w:rsidR="007B3894" w:rsidRDefault="007B3894">
      <w:pPr>
        <w:rPr>
          <w:rFonts w:ascii="Times New Roman" w:hAnsi="Times New Roman"/>
          <w:sz w:val="24"/>
          <w:szCs w:val="24"/>
        </w:rPr>
      </w:pPr>
      <w:r>
        <w:rPr>
          <w:rFonts w:ascii="Times New Roman" w:hAnsi="Times New Roman"/>
          <w:sz w:val="24"/>
          <w:szCs w:val="24"/>
        </w:rPr>
        <w:br w:type="page"/>
      </w:r>
    </w:p>
    <w:p w:rsidR="00CF4631" w:rsidRPr="00C93995" w:rsidRDefault="00D02AD1" w:rsidP="00F53B6D">
      <w:pPr>
        <w:spacing w:line="360" w:lineRule="auto"/>
        <w:jc w:val="both"/>
        <w:rPr>
          <w:rFonts w:ascii="Times New Roman" w:hAnsi="Times New Roman"/>
          <w:b/>
          <w:sz w:val="24"/>
          <w:szCs w:val="24"/>
        </w:rPr>
      </w:pPr>
      <w:r w:rsidRPr="00C93995">
        <w:rPr>
          <w:rFonts w:ascii="Times New Roman" w:hAnsi="Times New Roman"/>
          <w:b/>
          <w:sz w:val="24"/>
          <w:szCs w:val="24"/>
        </w:rPr>
        <w:lastRenderedPageBreak/>
        <w:t>References</w:t>
      </w:r>
    </w:p>
    <w:p w:rsidR="00057B56" w:rsidRDefault="00AB050F" w:rsidP="00F53B6D">
      <w:pPr>
        <w:spacing w:after="240"/>
        <w:jc w:val="both"/>
        <w:rPr>
          <w:rFonts w:ascii="Times New Roman" w:hAnsi="Times New Roman"/>
          <w:sz w:val="24"/>
          <w:szCs w:val="24"/>
        </w:rPr>
      </w:pPr>
      <w:r>
        <w:rPr>
          <w:rFonts w:ascii="Times New Roman" w:hAnsi="Times New Roman"/>
          <w:sz w:val="24"/>
          <w:szCs w:val="24"/>
        </w:rPr>
        <w:t>Angrist</w:t>
      </w:r>
      <w:r w:rsidR="007468A1">
        <w:rPr>
          <w:rFonts w:ascii="Times New Roman" w:hAnsi="Times New Roman"/>
          <w:sz w:val="24"/>
          <w:szCs w:val="24"/>
        </w:rPr>
        <w:t>, J,</w:t>
      </w:r>
      <w:r>
        <w:rPr>
          <w:rFonts w:ascii="Times New Roman" w:hAnsi="Times New Roman"/>
          <w:sz w:val="24"/>
          <w:szCs w:val="24"/>
        </w:rPr>
        <w:t xml:space="preserve"> and Krueger</w:t>
      </w:r>
      <w:r w:rsidR="007468A1">
        <w:rPr>
          <w:rFonts w:ascii="Times New Roman" w:hAnsi="Times New Roman"/>
          <w:sz w:val="24"/>
          <w:szCs w:val="24"/>
        </w:rPr>
        <w:t>, A,</w:t>
      </w:r>
      <w:r>
        <w:rPr>
          <w:rFonts w:ascii="Times New Roman" w:hAnsi="Times New Roman"/>
          <w:sz w:val="24"/>
          <w:szCs w:val="24"/>
        </w:rPr>
        <w:t xml:space="preserve"> (1991</w:t>
      </w:r>
      <w:r w:rsidR="00057B56">
        <w:rPr>
          <w:rFonts w:ascii="Times New Roman" w:hAnsi="Times New Roman"/>
          <w:sz w:val="24"/>
          <w:szCs w:val="24"/>
        </w:rPr>
        <w:t>)</w:t>
      </w:r>
      <w:r w:rsidR="007468A1">
        <w:rPr>
          <w:rFonts w:ascii="Times New Roman" w:hAnsi="Times New Roman"/>
          <w:sz w:val="24"/>
          <w:szCs w:val="24"/>
        </w:rPr>
        <w:t xml:space="preserve">, </w:t>
      </w:r>
      <w:r w:rsidR="007468A1" w:rsidRPr="007468A1">
        <w:rPr>
          <w:rFonts w:ascii="Times New Roman" w:hAnsi="Times New Roman"/>
          <w:sz w:val="24"/>
          <w:szCs w:val="24"/>
          <w:u w:val="single"/>
        </w:rPr>
        <w:t>Does Compulsory School Attendance Affect Schooling and Earning?</w:t>
      </w:r>
      <w:r w:rsidR="007468A1">
        <w:rPr>
          <w:rFonts w:ascii="Times New Roman" w:hAnsi="Times New Roman"/>
          <w:sz w:val="24"/>
          <w:szCs w:val="24"/>
        </w:rPr>
        <w:t xml:space="preserve">, </w:t>
      </w:r>
      <w:r w:rsidR="007468A1" w:rsidRPr="007468A1">
        <w:rPr>
          <w:rFonts w:ascii="Times New Roman" w:hAnsi="Times New Roman"/>
          <w:i/>
          <w:sz w:val="24"/>
          <w:szCs w:val="24"/>
        </w:rPr>
        <w:t>Quarterly Journal of Economics</w:t>
      </w:r>
      <w:r w:rsidR="007468A1">
        <w:rPr>
          <w:rFonts w:ascii="Times New Roman" w:hAnsi="Times New Roman"/>
          <w:sz w:val="24"/>
          <w:szCs w:val="24"/>
        </w:rPr>
        <w:t>, 106(4) pp 979-1014.</w:t>
      </w:r>
    </w:p>
    <w:p w:rsidR="00AB050F" w:rsidRDefault="00AB050F" w:rsidP="00F53B6D">
      <w:pPr>
        <w:spacing w:after="240"/>
        <w:jc w:val="both"/>
        <w:rPr>
          <w:rFonts w:ascii="Times New Roman" w:hAnsi="Times New Roman"/>
          <w:sz w:val="24"/>
          <w:szCs w:val="24"/>
        </w:rPr>
      </w:pPr>
      <w:r>
        <w:rPr>
          <w:rFonts w:ascii="Times New Roman" w:hAnsi="Times New Roman"/>
          <w:sz w:val="24"/>
          <w:szCs w:val="24"/>
        </w:rPr>
        <w:t>Angrist</w:t>
      </w:r>
      <w:r w:rsidR="007468A1">
        <w:rPr>
          <w:rFonts w:ascii="Times New Roman" w:hAnsi="Times New Roman"/>
          <w:sz w:val="24"/>
          <w:szCs w:val="24"/>
        </w:rPr>
        <w:t>, J,</w:t>
      </w:r>
      <w:r>
        <w:rPr>
          <w:rFonts w:ascii="Times New Roman" w:hAnsi="Times New Roman"/>
          <w:sz w:val="24"/>
          <w:szCs w:val="24"/>
        </w:rPr>
        <w:t xml:space="preserve"> and Krueger</w:t>
      </w:r>
      <w:r w:rsidR="007468A1">
        <w:rPr>
          <w:rFonts w:ascii="Times New Roman" w:hAnsi="Times New Roman"/>
          <w:sz w:val="24"/>
          <w:szCs w:val="24"/>
        </w:rPr>
        <w:t>, A,</w:t>
      </w:r>
      <w:r>
        <w:rPr>
          <w:rFonts w:ascii="Times New Roman" w:hAnsi="Times New Roman"/>
          <w:sz w:val="24"/>
          <w:szCs w:val="24"/>
        </w:rPr>
        <w:t xml:space="preserve"> (1992)</w:t>
      </w:r>
      <w:r w:rsidR="007468A1">
        <w:rPr>
          <w:rFonts w:ascii="Times New Roman" w:hAnsi="Times New Roman"/>
          <w:sz w:val="24"/>
          <w:szCs w:val="24"/>
        </w:rPr>
        <w:t xml:space="preserve">, </w:t>
      </w:r>
      <w:r w:rsidR="007468A1" w:rsidRPr="007468A1">
        <w:rPr>
          <w:rFonts w:ascii="Times New Roman" w:hAnsi="Times New Roman"/>
          <w:sz w:val="24"/>
          <w:szCs w:val="24"/>
          <w:u w:val="single"/>
        </w:rPr>
        <w:t>Estimating the Payoff to Schooling Using the Vietnam-Era Draft Lottery</w:t>
      </w:r>
      <w:r w:rsidR="007468A1">
        <w:rPr>
          <w:rFonts w:ascii="Times New Roman" w:hAnsi="Times New Roman"/>
          <w:sz w:val="24"/>
          <w:szCs w:val="24"/>
        </w:rPr>
        <w:t xml:space="preserve">, </w:t>
      </w:r>
      <w:r w:rsidR="007468A1" w:rsidRPr="007468A1">
        <w:rPr>
          <w:rFonts w:ascii="Times New Roman" w:hAnsi="Times New Roman"/>
          <w:sz w:val="24"/>
          <w:szCs w:val="24"/>
        </w:rPr>
        <w:t>NBER Working Paper No. 4067</w:t>
      </w:r>
      <w:r w:rsidR="007468A1">
        <w:rPr>
          <w:rFonts w:ascii="Times New Roman" w:hAnsi="Times New Roman"/>
          <w:sz w:val="24"/>
          <w:szCs w:val="24"/>
        </w:rPr>
        <w:t>.</w:t>
      </w:r>
    </w:p>
    <w:p w:rsidR="000F625D" w:rsidRDefault="000F625D" w:rsidP="00F53B6D">
      <w:pPr>
        <w:spacing w:after="240"/>
        <w:jc w:val="both"/>
        <w:rPr>
          <w:rFonts w:ascii="Times New Roman" w:hAnsi="Times New Roman"/>
          <w:sz w:val="24"/>
          <w:szCs w:val="24"/>
        </w:rPr>
      </w:pPr>
      <w:r>
        <w:rPr>
          <w:rFonts w:ascii="Times New Roman" w:hAnsi="Times New Roman"/>
          <w:sz w:val="24"/>
          <w:szCs w:val="24"/>
        </w:rPr>
        <w:t>Angrist, J, and Pischke</w:t>
      </w:r>
      <w:r w:rsidR="007468A1">
        <w:rPr>
          <w:rFonts w:ascii="Times New Roman" w:hAnsi="Times New Roman"/>
          <w:sz w:val="24"/>
          <w:szCs w:val="24"/>
        </w:rPr>
        <w:t>, J,</w:t>
      </w:r>
      <w:r>
        <w:rPr>
          <w:rFonts w:ascii="Times New Roman" w:hAnsi="Times New Roman"/>
          <w:sz w:val="24"/>
          <w:szCs w:val="24"/>
        </w:rPr>
        <w:t xml:space="preserve"> (2008)</w:t>
      </w:r>
      <w:r w:rsidR="007468A1">
        <w:rPr>
          <w:rFonts w:ascii="Times New Roman" w:hAnsi="Times New Roman"/>
          <w:sz w:val="24"/>
          <w:szCs w:val="24"/>
        </w:rPr>
        <w:t xml:space="preserve">, </w:t>
      </w:r>
      <w:r w:rsidR="007468A1" w:rsidRPr="007468A1">
        <w:rPr>
          <w:rFonts w:ascii="Times New Roman" w:hAnsi="Times New Roman"/>
          <w:i/>
          <w:sz w:val="24"/>
          <w:szCs w:val="24"/>
        </w:rPr>
        <w:t>Mostly Harmless Econometrics</w:t>
      </w:r>
      <w:r w:rsidR="007468A1">
        <w:rPr>
          <w:rFonts w:ascii="Times New Roman" w:hAnsi="Times New Roman"/>
          <w:sz w:val="24"/>
          <w:szCs w:val="24"/>
        </w:rPr>
        <w:t>, Princeton, New Jersey: Princeton University Press.</w:t>
      </w:r>
    </w:p>
    <w:p w:rsidR="007468A1" w:rsidRDefault="00057B56" w:rsidP="007468A1">
      <w:pPr>
        <w:spacing w:after="240"/>
        <w:jc w:val="both"/>
        <w:rPr>
          <w:rFonts w:ascii="Times New Roman" w:hAnsi="Times New Roman"/>
          <w:sz w:val="24"/>
          <w:szCs w:val="24"/>
        </w:rPr>
      </w:pPr>
      <w:r>
        <w:rPr>
          <w:rFonts w:ascii="Times New Roman" w:hAnsi="Times New Roman"/>
          <w:sz w:val="24"/>
          <w:szCs w:val="24"/>
        </w:rPr>
        <w:t>Ashenfelter</w:t>
      </w:r>
      <w:r w:rsidR="007468A1">
        <w:rPr>
          <w:rFonts w:ascii="Times New Roman" w:hAnsi="Times New Roman"/>
          <w:sz w:val="24"/>
          <w:szCs w:val="24"/>
        </w:rPr>
        <w:t>, O,</w:t>
      </w:r>
      <w:r>
        <w:rPr>
          <w:rFonts w:ascii="Times New Roman" w:hAnsi="Times New Roman"/>
          <w:sz w:val="24"/>
          <w:szCs w:val="24"/>
        </w:rPr>
        <w:t xml:space="preserve"> and Krueger</w:t>
      </w:r>
      <w:r w:rsidR="007468A1">
        <w:rPr>
          <w:rFonts w:ascii="Times New Roman" w:hAnsi="Times New Roman"/>
          <w:sz w:val="24"/>
          <w:szCs w:val="24"/>
        </w:rPr>
        <w:t>, A,</w:t>
      </w:r>
      <w:r>
        <w:rPr>
          <w:rFonts w:ascii="Times New Roman" w:hAnsi="Times New Roman"/>
          <w:sz w:val="24"/>
          <w:szCs w:val="24"/>
        </w:rPr>
        <w:t xml:space="preserve"> (1994)</w:t>
      </w:r>
      <w:r w:rsidR="007468A1">
        <w:rPr>
          <w:rFonts w:ascii="Times New Roman" w:hAnsi="Times New Roman"/>
          <w:sz w:val="24"/>
          <w:szCs w:val="24"/>
        </w:rPr>
        <w:t xml:space="preserve">, </w:t>
      </w:r>
      <w:r w:rsidR="007468A1" w:rsidRPr="007468A1">
        <w:rPr>
          <w:rFonts w:ascii="Times New Roman" w:hAnsi="Times New Roman"/>
          <w:sz w:val="24"/>
          <w:szCs w:val="24"/>
          <w:u w:val="single"/>
        </w:rPr>
        <w:t>Estimates of the Economic Return to Schooling from a New Sample of Twins</w:t>
      </w:r>
      <w:r w:rsidR="007468A1">
        <w:rPr>
          <w:rFonts w:ascii="Times New Roman" w:hAnsi="Times New Roman"/>
          <w:sz w:val="24"/>
          <w:szCs w:val="24"/>
        </w:rPr>
        <w:t xml:space="preserve">, </w:t>
      </w:r>
      <w:r w:rsidR="007468A1" w:rsidRPr="007468A1">
        <w:rPr>
          <w:rFonts w:ascii="Times New Roman" w:hAnsi="Times New Roman"/>
          <w:i/>
          <w:sz w:val="24"/>
          <w:szCs w:val="24"/>
        </w:rPr>
        <w:t>American Economic Review</w:t>
      </w:r>
      <w:r w:rsidR="007468A1">
        <w:rPr>
          <w:rFonts w:ascii="Times New Roman" w:hAnsi="Times New Roman"/>
          <w:sz w:val="24"/>
          <w:szCs w:val="24"/>
        </w:rPr>
        <w:t>, 84(5) pp.</w:t>
      </w:r>
      <w:r w:rsidR="007468A1" w:rsidRPr="007468A1">
        <w:rPr>
          <w:rFonts w:ascii="Times New Roman" w:hAnsi="Times New Roman"/>
          <w:sz w:val="24"/>
          <w:szCs w:val="24"/>
        </w:rPr>
        <w:t xml:space="preserve"> 1157-1173</w:t>
      </w:r>
      <w:r w:rsidR="007468A1">
        <w:rPr>
          <w:rFonts w:ascii="Times New Roman" w:hAnsi="Times New Roman"/>
          <w:sz w:val="24"/>
          <w:szCs w:val="24"/>
        </w:rPr>
        <w:t>.</w:t>
      </w:r>
    </w:p>
    <w:p w:rsidR="007A2EC3" w:rsidRPr="0067203D" w:rsidRDefault="007A2EC3" w:rsidP="00F53B6D">
      <w:pPr>
        <w:spacing w:after="240"/>
        <w:jc w:val="both"/>
        <w:rPr>
          <w:rFonts w:ascii="Times New Roman" w:hAnsi="Times New Roman"/>
          <w:sz w:val="24"/>
          <w:szCs w:val="24"/>
        </w:rPr>
      </w:pPr>
      <w:r w:rsidRPr="0067203D">
        <w:rPr>
          <w:rFonts w:ascii="Times New Roman" w:hAnsi="Times New Roman"/>
          <w:sz w:val="24"/>
          <w:szCs w:val="24"/>
        </w:rPr>
        <w:t xml:space="preserve">Becker, G, (1962), </w:t>
      </w:r>
      <w:r w:rsidRPr="007468A1">
        <w:rPr>
          <w:rFonts w:ascii="Times New Roman" w:hAnsi="Times New Roman"/>
          <w:sz w:val="24"/>
          <w:szCs w:val="24"/>
          <w:u w:val="single"/>
        </w:rPr>
        <w:t>Investment in Human Capital: a theoretical analysis</w:t>
      </w:r>
      <w:r w:rsidRPr="0067203D">
        <w:rPr>
          <w:rFonts w:ascii="Times New Roman" w:hAnsi="Times New Roman"/>
          <w:sz w:val="24"/>
          <w:szCs w:val="24"/>
        </w:rPr>
        <w:t xml:space="preserve">, </w:t>
      </w:r>
      <w:r w:rsidRPr="007468A1">
        <w:rPr>
          <w:rFonts w:ascii="Times New Roman" w:hAnsi="Times New Roman"/>
          <w:i/>
          <w:sz w:val="24"/>
          <w:szCs w:val="24"/>
        </w:rPr>
        <w:t>Journal of Political Economy</w:t>
      </w:r>
      <w:r w:rsidRPr="0067203D">
        <w:rPr>
          <w:rFonts w:ascii="Times New Roman" w:hAnsi="Times New Roman"/>
          <w:sz w:val="24"/>
          <w:szCs w:val="24"/>
        </w:rPr>
        <w:t xml:space="preserve"> 70 (5) pp. 9-49</w:t>
      </w:r>
    </w:p>
    <w:p w:rsidR="00057B56" w:rsidRDefault="00057B56" w:rsidP="00F53B6D">
      <w:pPr>
        <w:spacing w:before="240" w:after="240"/>
        <w:jc w:val="both"/>
        <w:rPr>
          <w:rFonts w:ascii="Times New Roman" w:hAnsi="Times New Roman"/>
          <w:sz w:val="24"/>
          <w:szCs w:val="24"/>
        </w:rPr>
      </w:pPr>
      <w:r>
        <w:rPr>
          <w:rFonts w:ascii="Times New Roman" w:hAnsi="Times New Roman"/>
          <w:sz w:val="24"/>
          <w:szCs w:val="24"/>
        </w:rPr>
        <w:t>Blackburn</w:t>
      </w:r>
      <w:r w:rsidR="000F625D">
        <w:rPr>
          <w:rFonts w:ascii="Times New Roman" w:hAnsi="Times New Roman"/>
          <w:sz w:val="24"/>
          <w:szCs w:val="24"/>
        </w:rPr>
        <w:t>, M,</w:t>
      </w:r>
      <w:r>
        <w:rPr>
          <w:rFonts w:ascii="Times New Roman" w:hAnsi="Times New Roman"/>
          <w:sz w:val="24"/>
          <w:szCs w:val="24"/>
        </w:rPr>
        <w:t xml:space="preserve"> and Neumark</w:t>
      </w:r>
      <w:r w:rsidR="000F625D">
        <w:rPr>
          <w:rFonts w:ascii="Times New Roman" w:hAnsi="Times New Roman"/>
          <w:sz w:val="24"/>
          <w:szCs w:val="24"/>
        </w:rPr>
        <w:t>, D,</w:t>
      </w:r>
      <w:r>
        <w:rPr>
          <w:rFonts w:ascii="Times New Roman" w:hAnsi="Times New Roman"/>
          <w:sz w:val="24"/>
          <w:szCs w:val="24"/>
        </w:rPr>
        <w:t xml:space="preserve"> (1995</w:t>
      </w:r>
      <w:r w:rsidR="000F625D">
        <w:rPr>
          <w:rFonts w:ascii="Times New Roman" w:hAnsi="Times New Roman"/>
          <w:sz w:val="24"/>
          <w:szCs w:val="24"/>
        </w:rPr>
        <w:t xml:space="preserve">), </w:t>
      </w:r>
      <w:r w:rsidR="000F625D" w:rsidRPr="000F625D">
        <w:rPr>
          <w:rFonts w:ascii="Times New Roman" w:hAnsi="Times New Roman"/>
          <w:sz w:val="24"/>
          <w:szCs w:val="24"/>
          <w:u w:val="single"/>
        </w:rPr>
        <w:t>Are OLS Estimates of the Return to Schooling Biased Downward? Another Look</w:t>
      </w:r>
      <w:r w:rsidR="000F625D">
        <w:rPr>
          <w:rFonts w:ascii="Times New Roman" w:hAnsi="Times New Roman"/>
          <w:sz w:val="24"/>
          <w:szCs w:val="24"/>
        </w:rPr>
        <w:t xml:space="preserve">, </w:t>
      </w:r>
      <w:r w:rsidR="000F625D" w:rsidRPr="000F625D">
        <w:rPr>
          <w:rFonts w:ascii="Times New Roman" w:hAnsi="Times New Roman"/>
          <w:i/>
          <w:sz w:val="24"/>
          <w:szCs w:val="24"/>
        </w:rPr>
        <w:t>The Review of Economics and Statistics</w:t>
      </w:r>
      <w:r w:rsidR="000F625D">
        <w:rPr>
          <w:rFonts w:ascii="Times New Roman" w:hAnsi="Times New Roman"/>
          <w:sz w:val="24"/>
          <w:szCs w:val="24"/>
        </w:rPr>
        <w:t>, 77(2)</w:t>
      </w:r>
      <w:r w:rsidR="000F625D" w:rsidRPr="000F625D">
        <w:rPr>
          <w:rFonts w:ascii="Times New Roman" w:hAnsi="Times New Roman"/>
          <w:sz w:val="24"/>
          <w:szCs w:val="24"/>
        </w:rPr>
        <w:t>, pp. 217-230</w:t>
      </w:r>
      <w:r w:rsidR="000F625D">
        <w:rPr>
          <w:rFonts w:ascii="Times New Roman" w:hAnsi="Times New Roman"/>
          <w:sz w:val="24"/>
          <w:szCs w:val="24"/>
        </w:rPr>
        <w:t>.</w:t>
      </w:r>
    </w:p>
    <w:p w:rsidR="00693B19" w:rsidRDefault="00693B19" w:rsidP="00693B19">
      <w:pPr>
        <w:spacing w:after="240"/>
        <w:jc w:val="both"/>
        <w:rPr>
          <w:rFonts w:ascii="Times New Roman" w:hAnsi="Times New Roman"/>
          <w:sz w:val="24"/>
          <w:szCs w:val="24"/>
        </w:rPr>
      </w:pPr>
      <w:r>
        <w:rPr>
          <w:rFonts w:ascii="Times New Roman" w:hAnsi="Times New Roman"/>
          <w:sz w:val="24"/>
          <w:szCs w:val="24"/>
        </w:rPr>
        <w:t>Blundell, R</w:t>
      </w:r>
      <w:r w:rsidRPr="00693B19">
        <w:rPr>
          <w:rFonts w:ascii="Times New Roman" w:hAnsi="Times New Roman"/>
          <w:sz w:val="24"/>
          <w:szCs w:val="24"/>
        </w:rPr>
        <w:t>, Dearden, L</w:t>
      </w:r>
      <w:r>
        <w:rPr>
          <w:rFonts w:ascii="Times New Roman" w:hAnsi="Times New Roman"/>
          <w:sz w:val="24"/>
          <w:szCs w:val="24"/>
        </w:rPr>
        <w:t>, and Meghir, C,</w:t>
      </w:r>
      <w:r w:rsidRPr="00693B19">
        <w:rPr>
          <w:rFonts w:ascii="Times New Roman" w:hAnsi="Times New Roman"/>
          <w:sz w:val="24"/>
          <w:szCs w:val="24"/>
        </w:rPr>
        <w:t xml:space="preserve"> (1996</w:t>
      </w:r>
      <w:r w:rsidRPr="00693B19">
        <w:rPr>
          <w:rFonts w:ascii="Times New Roman" w:hAnsi="Times New Roman"/>
          <w:sz w:val="24"/>
          <w:szCs w:val="24"/>
          <w:u w:val="single"/>
        </w:rPr>
        <w:t>). The Determinants and Effects of Work Related Training in Britain</w:t>
      </w:r>
      <w:r>
        <w:rPr>
          <w:rFonts w:ascii="Times New Roman" w:hAnsi="Times New Roman"/>
          <w:sz w:val="24"/>
          <w:szCs w:val="24"/>
          <w:u w:val="single"/>
        </w:rPr>
        <w:t>,</w:t>
      </w:r>
      <w:r w:rsidRPr="00693B19">
        <w:rPr>
          <w:rFonts w:ascii="Times New Roman" w:hAnsi="Times New Roman"/>
          <w:sz w:val="24"/>
          <w:szCs w:val="24"/>
        </w:rPr>
        <w:t xml:space="preserve"> London: Institute of Fiscal Studies. </w:t>
      </w:r>
    </w:p>
    <w:p w:rsidR="00F53B6D" w:rsidRPr="00F53B6D" w:rsidRDefault="00F53B6D" w:rsidP="00693B19">
      <w:pPr>
        <w:spacing w:after="240"/>
        <w:jc w:val="both"/>
        <w:rPr>
          <w:rFonts w:ascii="Times New Roman" w:hAnsi="Times New Roman"/>
          <w:sz w:val="24"/>
          <w:szCs w:val="24"/>
        </w:rPr>
      </w:pPr>
      <w:r w:rsidRPr="00F53B6D">
        <w:rPr>
          <w:rFonts w:ascii="Times New Roman" w:hAnsi="Times New Roman"/>
          <w:sz w:val="24"/>
          <w:szCs w:val="24"/>
        </w:rPr>
        <w:t xml:space="preserve">Blundell, R., L. Dearden, A. Goodman and H. Reed (2000), </w:t>
      </w:r>
      <w:r w:rsidRPr="007468A1">
        <w:rPr>
          <w:rFonts w:ascii="Times New Roman" w:hAnsi="Times New Roman"/>
          <w:sz w:val="24"/>
          <w:szCs w:val="24"/>
          <w:u w:val="single"/>
        </w:rPr>
        <w:t>The Returns to Higher Education in Britain: Evidence from a British Cohort</w:t>
      </w:r>
      <w:r w:rsidRPr="00F53B6D">
        <w:rPr>
          <w:rFonts w:ascii="Times New Roman" w:hAnsi="Times New Roman"/>
          <w:sz w:val="24"/>
          <w:szCs w:val="24"/>
        </w:rPr>
        <w:t xml:space="preserve">, </w:t>
      </w:r>
      <w:r w:rsidRPr="007468A1">
        <w:rPr>
          <w:rFonts w:ascii="Times New Roman" w:hAnsi="Times New Roman"/>
          <w:i/>
          <w:sz w:val="24"/>
          <w:szCs w:val="24"/>
        </w:rPr>
        <w:t>The Economic Journal</w:t>
      </w:r>
      <w:r w:rsidRPr="00F53B6D">
        <w:rPr>
          <w:rFonts w:ascii="Times New Roman" w:hAnsi="Times New Roman"/>
          <w:sz w:val="24"/>
          <w:szCs w:val="24"/>
        </w:rPr>
        <w:t>, vol. 110, p. 82-99.</w:t>
      </w:r>
    </w:p>
    <w:p w:rsidR="007468A1" w:rsidRDefault="00F53B6D" w:rsidP="00F53B6D">
      <w:pPr>
        <w:spacing w:after="240"/>
        <w:jc w:val="both"/>
        <w:rPr>
          <w:rFonts w:ascii="Times New Roman" w:hAnsi="Times New Roman"/>
          <w:sz w:val="24"/>
          <w:szCs w:val="24"/>
        </w:rPr>
      </w:pPr>
      <w:r w:rsidRPr="00F53B6D">
        <w:rPr>
          <w:rFonts w:ascii="Times New Roman" w:hAnsi="Times New Roman"/>
          <w:sz w:val="24"/>
          <w:szCs w:val="24"/>
        </w:rPr>
        <w:t xml:space="preserve">Bratti, M, Naylor, R, and Smith, J, (2008), </w:t>
      </w:r>
      <w:r w:rsidRPr="007468A1">
        <w:rPr>
          <w:rFonts w:ascii="Times New Roman" w:hAnsi="Times New Roman"/>
          <w:sz w:val="24"/>
          <w:szCs w:val="24"/>
          <w:u w:val="single"/>
        </w:rPr>
        <w:t>Heterogeneities in the returns to degrees: Evidence from the British Cohort Study 1970</w:t>
      </w:r>
      <w:r w:rsidRPr="00F53B6D">
        <w:rPr>
          <w:rFonts w:ascii="Times New Roman" w:hAnsi="Times New Roman"/>
          <w:sz w:val="24"/>
          <w:szCs w:val="24"/>
        </w:rPr>
        <w:t>, working paper no. 2008-40, Department of Economics, Business and Statistics at Università degli Studi di Milano</w:t>
      </w:r>
    </w:p>
    <w:p w:rsidR="00E158EA" w:rsidRDefault="00E158EA" w:rsidP="00E158EA">
      <w:pPr>
        <w:spacing w:after="240"/>
        <w:jc w:val="both"/>
        <w:rPr>
          <w:rFonts w:ascii="Times New Roman" w:hAnsi="Times New Roman"/>
          <w:sz w:val="24"/>
          <w:szCs w:val="24"/>
        </w:rPr>
      </w:pPr>
      <w:r w:rsidRPr="00E158EA">
        <w:rPr>
          <w:rFonts w:ascii="Times New Roman" w:hAnsi="Times New Roman"/>
          <w:sz w:val="24"/>
          <w:szCs w:val="24"/>
        </w:rPr>
        <w:t xml:space="preserve">Carneiro, </w:t>
      </w:r>
      <w:r>
        <w:rPr>
          <w:rFonts w:ascii="Times New Roman" w:hAnsi="Times New Roman"/>
          <w:sz w:val="24"/>
          <w:szCs w:val="24"/>
        </w:rPr>
        <w:t>P</w:t>
      </w:r>
      <w:r w:rsidRPr="00E158EA">
        <w:rPr>
          <w:rFonts w:ascii="Times New Roman" w:hAnsi="Times New Roman"/>
          <w:sz w:val="24"/>
          <w:szCs w:val="24"/>
        </w:rPr>
        <w:t>, Heckman,</w:t>
      </w:r>
      <w:r>
        <w:rPr>
          <w:rFonts w:ascii="Times New Roman" w:hAnsi="Times New Roman"/>
          <w:sz w:val="24"/>
          <w:szCs w:val="24"/>
        </w:rPr>
        <w:t xml:space="preserve"> J.</w:t>
      </w:r>
      <w:r w:rsidRPr="00E158EA">
        <w:rPr>
          <w:rFonts w:ascii="Times New Roman" w:hAnsi="Times New Roman"/>
          <w:sz w:val="24"/>
          <w:szCs w:val="24"/>
        </w:rPr>
        <w:t xml:space="preserve"> and Vy</w:t>
      </w:r>
      <w:r>
        <w:rPr>
          <w:rFonts w:ascii="Times New Roman" w:hAnsi="Times New Roman"/>
          <w:sz w:val="24"/>
          <w:szCs w:val="24"/>
        </w:rPr>
        <w:t>tlacil, E, (</w:t>
      </w:r>
      <w:r w:rsidRPr="00E158EA">
        <w:rPr>
          <w:rFonts w:ascii="Times New Roman" w:hAnsi="Times New Roman"/>
          <w:sz w:val="24"/>
          <w:szCs w:val="24"/>
        </w:rPr>
        <w:t>2011</w:t>
      </w:r>
      <w:r>
        <w:rPr>
          <w:rFonts w:ascii="Times New Roman" w:hAnsi="Times New Roman"/>
          <w:sz w:val="24"/>
          <w:szCs w:val="24"/>
        </w:rPr>
        <w:t xml:space="preserve">), </w:t>
      </w:r>
      <w:r w:rsidRPr="00E158EA">
        <w:rPr>
          <w:rFonts w:ascii="Times New Roman" w:hAnsi="Times New Roman"/>
          <w:sz w:val="24"/>
          <w:szCs w:val="24"/>
          <w:u w:val="single"/>
        </w:rPr>
        <w:t>Estimating Marginal Returns to Education</w:t>
      </w:r>
      <w:r>
        <w:rPr>
          <w:rFonts w:ascii="Times New Roman" w:hAnsi="Times New Roman"/>
          <w:sz w:val="24"/>
          <w:szCs w:val="24"/>
        </w:rPr>
        <w:t>,</w:t>
      </w:r>
      <w:r w:rsidRPr="00E158EA">
        <w:rPr>
          <w:rFonts w:ascii="Times New Roman" w:hAnsi="Times New Roman"/>
          <w:sz w:val="24"/>
          <w:szCs w:val="24"/>
        </w:rPr>
        <w:t xml:space="preserve"> </w:t>
      </w:r>
      <w:r w:rsidRPr="00E158EA">
        <w:rPr>
          <w:rFonts w:ascii="Times New Roman" w:hAnsi="Times New Roman"/>
          <w:i/>
          <w:sz w:val="24"/>
          <w:szCs w:val="24"/>
        </w:rPr>
        <w:t>American Economic Review</w:t>
      </w:r>
      <w:r>
        <w:rPr>
          <w:rFonts w:ascii="Times New Roman" w:hAnsi="Times New Roman"/>
          <w:sz w:val="24"/>
          <w:szCs w:val="24"/>
        </w:rPr>
        <w:t>, 101(6), pp.</w:t>
      </w:r>
      <w:r w:rsidRPr="00E158EA">
        <w:rPr>
          <w:rFonts w:ascii="Times New Roman" w:hAnsi="Times New Roman"/>
          <w:sz w:val="24"/>
          <w:szCs w:val="24"/>
        </w:rPr>
        <w:t xml:space="preserve"> 2754-81</w:t>
      </w:r>
      <w:r>
        <w:rPr>
          <w:rFonts w:ascii="Times New Roman" w:hAnsi="Times New Roman"/>
          <w:sz w:val="24"/>
          <w:szCs w:val="24"/>
        </w:rPr>
        <w:t>.</w:t>
      </w:r>
    </w:p>
    <w:p w:rsidR="00AB050F" w:rsidRPr="007468A1" w:rsidRDefault="007468A1" w:rsidP="00F53B6D">
      <w:pPr>
        <w:spacing w:after="240"/>
        <w:jc w:val="both"/>
        <w:rPr>
          <w:rFonts w:ascii="Times New Roman" w:hAnsi="Times New Roman"/>
          <w:sz w:val="24"/>
          <w:szCs w:val="24"/>
        </w:rPr>
      </w:pPr>
      <w:r>
        <w:rPr>
          <w:rFonts w:ascii="Times New Roman" w:hAnsi="Times New Roman"/>
          <w:sz w:val="24"/>
          <w:szCs w:val="24"/>
        </w:rPr>
        <w:t xml:space="preserve">Card, D, (1993), </w:t>
      </w:r>
      <w:r w:rsidRPr="007468A1">
        <w:rPr>
          <w:rFonts w:ascii="Times New Roman" w:hAnsi="Times New Roman"/>
          <w:sz w:val="24"/>
          <w:szCs w:val="24"/>
          <w:u w:val="single"/>
        </w:rPr>
        <w:t>Using Geographic Variation in College Proximity to Estimate the Return to Schooling</w:t>
      </w:r>
      <w:r>
        <w:rPr>
          <w:rFonts w:ascii="Times New Roman" w:hAnsi="Times New Roman"/>
          <w:sz w:val="24"/>
          <w:szCs w:val="24"/>
        </w:rPr>
        <w:t xml:space="preserve">, </w:t>
      </w:r>
      <w:r w:rsidR="00DA5250" w:rsidRPr="007468A1">
        <w:rPr>
          <w:rFonts w:ascii="Times New Roman" w:hAnsi="Times New Roman"/>
          <w:sz w:val="24"/>
          <w:szCs w:val="24"/>
        </w:rPr>
        <w:t>NBER Working Paper No.</w:t>
      </w:r>
      <w:r w:rsidR="00DA5250">
        <w:rPr>
          <w:rFonts w:ascii="Times New Roman" w:hAnsi="Times New Roman"/>
          <w:sz w:val="24"/>
          <w:szCs w:val="24"/>
        </w:rPr>
        <w:t xml:space="preserve"> 4483.</w:t>
      </w:r>
    </w:p>
    <w:p w:rsidR="00F53B6D" w:rsidRDefault="00F53B6D" w:rsidP="00F53B6D">
      <w:pPr>
        <w:spacing w:after="240"/>
        <w:jc w:val="both"/>
        <w:rPr>
          <w:rFonts w:ascii="Times New Roman" w:hAnsi="Times New Roman"/>
          <w:sz w:val="24"/>
          <w:szCs w:val="24"/>
        </w:rPr>
      </w:pPr>
      <w:r w:rsidRPr="00F53B6D">
        <w:rPr>
          <w:rFonts w:ascii="Times New Roman" w:hAnsi="Times New Roman"/>
          <w:sz w:val="24"/>
          <w:szCs w:val="24"/>
        </w:rPr>
        <w:t xml:space="preserve">Card, D, (1999), </w:t>
      </w:r>
      <w:r w:rsidRPr="007468A1">
        <w:rPr>
          <w:rFonts w:ascii="Times New Roman" w:hAnsi="Times New Roman"/>
          <w:sz w:val="24"/>
          <w:szCs w:val="24"/>
          <w:u w:val="single"/>
        </w:rPr>
        <w:t>The causal effect of education on earnings</w:t>
      </w:r>
      <w:r w:rsidRPr="00F53B6D">
        <w:rPr>
          <w:rFonts w:ascii="Times New Roman" w:hAnsi="Times New Roman"/>
          <w:sz w:val="24"/>
          <w:szCs w:val="24"/>
        </w:rPr>
        <w:t xml:space="preserve">, </w:t>
      </w:r>
      <w:r>
        <w:rPr>
          <w:rFonts w:ascii="Times New Roman" w:hAnsi="Times New Roman"/>
          <w:sz w:val="24"/>
          <w:szCs w:val="24"/>
        </w:rPr>
        <w:t>in</w:t>
      </w:r>
      <w:r w:rsidR="007468A1">
        <w:rPr>
          <w:rFonts w:ascii="Times New Roman" w:hAnsi="Times New Roman"/>
          <w:sz w:val="24"/>
          <w:szCs w:val="24"/>
        </w:rPr>
        <w:t xml:space="preserve"> Ashenfelter, O and Card, D (eds.)</w:t>
      </w:r>
      <w:r>
        <w:rPr>
          <w:rFonts w:ascii="Times New Roman" w:hAnsi="Times New Roman"/>
          <w:sz w:val="24"/>
          <w:szCs w:val="24"/>
        </w:rPr>
        <w:t xml:space="preserve"> </w:t>
      </w:r>
      <w:r w:rsidRPr="007468A1">
        <w:rPr>
          <w:rFonts w:ascii="Times New Roman" w:hAnsi="Times New Roman"/>
          <w:i/>
          <w:sz w:val="24"/>
          <w:szCs w:val="24"/>
        </w:rPr>
        <w:t>Handbook of Labor Economics 3A</w:t>
      </w:r>
      <w:r w:rsidRPr="00F53B6D">
        <w:rPr>
          <w:rFonts w:ascii="Times New Roman" w:hAnsi="Times New Roman"/>
          <w:sz w:val="24"/>
          <w:szCs w:val="24"/>
        </w:rPr>
        <w:t xml:space="preserve">, </w:t>
      </w:r>
      <w:r>
        <w:rPr>
          <w:rFonts w:ascii="Times New Roman" w:hAnsi="Times New Roman"/>
          <w:sz w:val="24"/>
          <w:szCs w:val="24"/>
        </w:rPr>
        <w:t>chapter 30, pp 1801-1856.</w:t>
      </w:r>
    </w:p>
    <w:p w:rsidR="005C5CC0" w:rsidRDefault="00DA5250" w:rsidP="00DA5250">
      <w:pPr>
        <w:spacing w:after="240"/>
        <w:jc w:val="both"/>
        <w:rPr>
          <w:rFonts w:ascii="Times New Roman" w:hAnsi="Times New Roman"/>
          <w:sz w:val="24"/>
          <w:szCs w:val="24"/>
        </w:rPr>
      </w:pPr>
      <w:r>
        <w:rPr>
          <w:rFonts w:ascii="Times New Roman" w:hAnsi="Times New Roman"/>
          <w:sz w:val="24"/>
          <w:szCs w:val="24"/>
        </w:rPr>
        <w:t>Checchi, D,</w:t>
      </w:r>
      <w:r w:rsidRPr="00DA5250">
        <w:rPr>
          <w:rFonts w:ascii="Times New Roman" w:hAnsi="Times New Roman"/>
          <w:sz w:val="24"/>
          <w:szCs w:val="24"/>
        </w:rPr>
        <w:t xml:space="preserve"> and </w:t>
      </w:r>
      <w:r>
        <w:rPr>
          <w:rFonts w:ascii="Times New Roman" w:hAnsi="Times New Roman"/>
          <w:sz w:val="24"/>
          <w:szCs w:val="24"/>
        </w:rPr>
        <w:t>García Peñalosa, C, (</w:t>
      </w:r>
      <w:r w:rsidRPr="00DA5250">
        <w:rPr>
          <w:rFonts w:ascii="Times New Roman" w:hAnsi="Times New Roman"/>
          <w:sz w:val="24"/>
          <w:szCs w:val="24"/>
        </w:rPr>
        <w:t>2005</w:t>
      </w:r>
      <w:r>
        <w:rPr>
          <w:rFonts w:ascii="Times New Roman" w:hAnsi="Times New Roman"/>
          <w:sz w:val="24"/>
          <w:szCs w:val="24"/>
        </w:rPr>
        <w:t>),</w:t>
      </w:r>
      <w:r w:rsidRPr="00DA5250">
        <w:rPr>
          <w:rFonts w:ascii="Times New Roman" w:hAnsi="Times New Roman"/>
          <w:sz w:val="24"/>
          <w:szCs w:val="24"/>
        </w:rPr>
        <w:t xml:space="preserve"> </w:t>
      </w:r>
      <w:r w:rsidRPr="00DA5250">
        <w:rPr>
          <w:rFonts w:ascii="Times New Roman" w:hAnsi="Times New Roman"/>
          <w:sz w:val="24"/>
          <w:szCs w:val="24"/>
          <w:u w:val="single"/>
        </w:rPr>
        <w:t>Labour shares and the personal distribution of income in the OECD</w:t>
      </w:r>
      <w:r>
        <w:rPr>
          <w:rFonts w:ascii="Times New Roman" w:hAnsi="Times New Roman"/>
          <w:sz w:val="24"/>
          <w:szCs w:val="24"/>
        </w:rPr>
        <w:t>,</w:t>
      </w:r>
      <w:r w:rsidRPr="00DA5250">
        <w:rPr>
          <w:rFonts w:ascii="Times New Roman" w:hAnsi="Times New Roman"/>
          <w:sz w:val="24"/>
          <w:szCs w:val="24"/>
        </w:rPr>
        <w:t xml:space="preserve"> IZA Discussion Paper No. 1681/2005</w:t>
      </w:r>
    </w:p>
    <w:p w:rsidR="007A2EC3" w:rsidRDefault="007A2EC3" w:rsidP="00F53B6D">
      <w:pPr>
        <w:spacing w:after="240"/>
        <w:jc w:val="both"/>
        <w:rPr>
          <w:rFonts w:ascii="Times New Roman" w:hAnsi="Times New Roman"/>
          <w:sz w:val="24"/>
          <w:szCs w:val="24"/>
        </w:rPr>
      </w:pPr>
      <w:r w:rsidRPr="00A57B5D">
        <w:rPr>
          <w:rFonts w:ascii="Times New Roman" w:hAnsi="Times New Roman"/>
          <w:sz w:val="24"/>
          <w:szCs w:val="24"/>
        </w:rPr>
        <w:t xml:space="preserve">Chevalier, </w:t>
      </w:r>
      <w:r>
        <w:rPr>
          <w:rFonts w:ascii="Times New Roman" w:hAnsi="Times New Roman"/>
          <w:sz w:val="24"/>
          <w:szCs w:val="24"/>
        </w:rPr>
        <w:t xml:space="preserve">A, </w:t>
      </w:r>
      <w:r w:rsidRPr="00A57B5D">
        <w:rPr>
          <w:rFonts w:ascii="Times New Roman" w:hAnsi="Times New Roman"/>
          <w:sz w:val="24"/>
          <w:szCs w:val="24"/>
        </w:rPr>
        <w:t>Harmon,</w:t>
      </w:r>
      <w:r>
        <w:rPr>
          <w:rFonts w:ascii="Times New Roman" w:hAnsi="Times New Roman"/>
          <w:sz w:val="24"/>
          <w:szCs w:val="24"/>
        </w:rPr>
        <w:t xml:space="preserve"> C,</w:t>
      </w:r>
      <w:r w:rsidRPr="00A57B5D">
        <w:rPr>
          <w:rFonts w:ascii="Times New Roman" w:hAnsi="Times New Roman"/>
          <w:sz w:val="24"/>
          <w:szCs w:val="24"/>
        </w:rPr>
        <w:t xml:space="preserve"> Walker</w:t>
      </w:r>
      <w:r>
        <w:rPr>
          <w:rFonts w:ascii="Times New Roman" w:hAnsi="Times New Roman"/>
          <w:sz w:val="24"/>
          <w:szCs w:val="24"/>
        </w:rPr>
        <w:t>, I,</w:t>
      </w:r>
      <w:r w:rsidRPr="00A57B5D">
        <w:rPr>
          <w:rFonts w:ascii="Times New Roman" w:hAnsi="Times New Roman"/>
          <w:sz w:val="24"/>
          <w:szCs w:val="24"/>
        </w:rPr>
        <w:t xml:space="preserve"> and Zhu</w:t>
      </w:r>
      <w:r>
        <w:rPr>
          <w:rFonts w:ascii="Times New Roman" w:hAnsi="Times New Roman"/>
          <w:sz w:val="24"/>
          <w:szCs w:val="24"/>
        </w:rPr>
        <w:t>, Y,</w:t>
      </w:r>
      <w:r w:rsidRPr="00A57B5D">
        <w:rPr>
          <w:rFonts w:ascii="Times New Roman" w:hAnsi="Times New Roman"/>
          <w:sz w:val="24"/>
          <w:szCs w:val="24"/>
        </w:rPr>
        <w:t xml:space="preserve"> </w:t>
      </w:r>
      <w:r>
        <w:rPr>
          <w:rFonts w:ascii="Times New Roman" w:hAnsi="Times New Roman"/>
          <w:sz w:val="24"/>
          <w:szCs w:val="24"/>
        </w:rPr>
        <w:t xml:space="preserve">(2004), </w:t>
      </w:r>
      <w:r w:rsidRPr="00A57B5D">
        <w:rPr>
          <w:rFonts w:ascii="Times New Roman" w:hAnsi="Times New Roman"/>
          <w:sz w:val="24"/>
          <w:szCs w:val="24"/>
          <w:u w:val="single"/>
        </w:rPr>
        <w:t>Does Education Raise Productivity or Just Reflect it?</w:t>
      </w:r>
      <w:r w:rsidRPr="00032F6F">
        <w:rPr>
          <w:rFonts w:ascii="Times New Roman" w:hAnsi="Times New Roman"/>
          <w:sz w:val="24"/>
          <w:szCs w:val="24"/>
        </w:rPr>
        <w:t xml:space="preserve">, </w:t>
      </w:r>
      <w:r w:rsidRPr="00032F6F">
        <w:rPr>
          <w:rFonts w:ascii="Times New Roman" w:hAnsi="Times New Roman"/>
          <w:i/>
          <w:sz w:val="24"/>
          <w:szCs w:val="24"/>
        </w:rPr>
        <w:t>Economic Journal</w:t>
      </w:r>
      <w:r>
        <w:rPr>
          <w:rFonts w:ascii="Times New Roman" w:hAnsi="Times New Roman"/>
          <w:sz w:val="24"/>
          <w:szCs w:val="24"/>
        </w:rPr>
        <w:t xml:space="preserve"> 114 pp</w:t>
      </w:r>
      <w:r w:rsidR="00DA5250">
        <w:rPr>
          <w:rFonts w:ascii="Times New Roman" w:hAnsi="Times New Roman"/>
          <w:sz w:val="24"/>
          <w:szCs w:val="24"/>
        </w:rPr>
        <w:t>.</w:t>
      </w:r>
      <w:r>
        <w:rPr>
          <w:rFonts w:ascii="Times New Roman" w:hAnsi="Times New Roman"/>
          <w:sz w:val="24"/>
          <w:szCs w:val="24"/>
        </w:rPr>
        <w:t xml:space="preserve"> 499-517.</w:t>
      </w:r>
    </w:p>
    <w:p w:rsidR="007A2EC3" w:rsidRPr="00005C78" w:rsidRDefault="007A2EC3" w:rsidP="00F53B6D">
      <w:pPr>
        <w:jc w:val="both"/>
        <w:rPr>
          <w:rFonts w:ascii="Times New Roman" w:hAnsi="Times New Roman"/>
          <w:sz w:val="24"/>
          <w:szCs w:val="24"/>
        </w:rPr>
      </w:pPr>
      <w:r w:rsidRPr="00005C78">
        <w:rPr>
          <w:rFonts w:ascii="Times New Roman" w:hAnsi="Times New Roman"/>
          <w:sz w:val="24"/>
          <w:szCs w:val="24"/>
        </w:rPr>
        <w:t>Conlon</w:t>
      </w:r>
      <w:r w:rsidR="00DA5250">
        <w:rPr>
          <w:rFonts w:ascii="Times New Roman" w:hAnsi="Times New Roman"/>
          <w:sz w:val="24"/>
          <w:szCs w:val="24"/>
        </w:rPr>
        <w:t>, G</w:t>
      </w:r>
      <w:r w:rsidRPr="00005C78">
        <w:rPr>
          <w:rFonts w:ascii="Times New Roman" w:hAnsi="Times New Roman"/>
          <w:sz w:val="24"/>
          <w:szCs w:val="24"/>
        </w:rPr>
        <w:t xml:space="preserve"> and Patrignani,</w:t>
      </w:r>
      <w:r w:rsidR="00DA5250">
        <w:rPr>
          <w:rFonts w:ascii="Times New Roman" w:hAnsi="Times New Roman"/>
          <w:sz w:val="24"/>
          <w:szCs w:val="24"/>
        </w:rPr>
        <w:t xml:space="preserve"> P,</w:t>
      </w:r>
      <w:r w:rsidRPr="00005C78">
        <w:rPr>
          <w:rFonts w:ascii="Times New Roman" w:hAnsi="Times New Roman"/>
          <w:sz w:val="24"/>
          <w:szCs w:val="24"/>
        </w:rPr>
        <w:t xml:space="preserve"> (2011), </w:t>
      </w:r>
      <w:r w:rsidRPr="00DA5250">
        <w:rPr>
          <w:rFonts w:ascii="Times New Roman" w:hAnsi="Times New Roman"/>
          <w:sz w:val="24"/>
          <w:szCs w:val="24"/>
          <w:u w:val="single"/>
        </w:rPr>
        <w:t>The returns to higher education qualifications</w:t>
      </w:r>
      <w:r w:rsidRPr="00005C78">
        <w:rPr>
          <w:rFonts w:ascii="Times New Roman" w:hAnsi="Times New Roman"/>
          <w:sz w:val="24"/>
          <w:szCs w:val="24"/>
        </w:rPr>
        <w:t>, BIS research paper no. 45, London: Department of Business, Innovation and Skills</w:t>
      </w:r>
    </w:p>
    <w:p w:rsidR="00F03901" w:rsidRDefault="00F03901" w:rsidP="00693B19">
      <w:pPr>
        <w:spacing w:after="240"/>
        <w:jc w:val="both"/>
        <w:rPr>
          <w:rFonts w:ascii="Times New Roman" w:hAnsi="Times New Roman"/>
          <w:sz w:val="24"/>
          <w:szCs w:val="24"/>
        </w:rPr>
      </w:pPr>
      <w:r>
        <w:rPr>
          <w:rFonts w:ascii="Times New Roman" w:hAnsi="Times New Roman"/>
          <w:sz w:val="24"/>
          <w:szCs w:val="24"/>
        </w:rPr>
        <w:lastRenderedPageBreak/>
        <w:t xml:space="preserve">Conlon, </w:t>
      </w:r>
      <w:r w:rsidR="00693B19">
        <w:rPr>
          <w:rFonts w:ascii="Times New Roman" w:hAnsi="Times New Roman"/>
          <w:sz w:val="24"/>
          <w:szCs w:val="24"/>
        </w:rPr>
        <w:t xml:space="preserve">G, Patrignani, P, </w:t>
      </w:r>
      <w:r w:rsidRPr="008B259C">
        <w:rPr>
          <w:rFonts w:ascii="Times New Roman" w:hAnsi="Times New Roman"/>
          <w:sz w:val="24"/>
          <w:szCs w:val="24"/>
        </w:rPr>
        <w:t>and Chapman</w:t>
      </w:r>
      <w:r>
        <w:rPr>
          <w:rFonts w:ascii="Times New Roman" w:hAnsi="Times New Roman"/>
          <w:sz w:val="24"/>
          <w:szCs w:val="24"/>
        </w:rPr>
        <w:t xml:space="preserve">, </w:t>
      </w:r>
      <w:r w:rsidR="00693B19">
        <w:rPr>
          <w:rFonts w:ascii="Times New Roman" w:hAnsi="Times New Roman"/>
          <w:sz w:val="24"/>
          <w:szCs w:val="24"/>
        </w:rPr>
        <w:t>J, (</w:t>
      </w:r>
      <w:r>
        <w:rPr>
          <w:rFonts w:ascii="Times New Roman" w:hAnsi="Times New Roman"/>
          <w:sz w:val="24"/>
          <w:szCs w:val="24"/>
        </w:rPr>
        <w:t>2011</w:t>
      </w:r>
      <w:r w:rsidR="00693B19" w:rsidRPr="00693B19">
        <w:rPr>
          <w:rFonts w:ascii="Times New Roman" w:hAnsi="Times New Roman"/>
          <w:sz w:val="24"/>
          <w:szCs w:val="24"/>
          <w:u w:val="single"/>
        </w:rPr>
        <w:t>), Returns to Intermediate and Low Level Vocational Qualifications</w:t>
      </w:r>
      <w:r w:rsidR="00693B19">
        <w:rPr>
          <w:rFonts w:ascii="Times New Roman" w:hAnsi="Times New Roman"/>
          <w:sz w:val="24"/>
          <w:szCs w:val="24"/>
        </w:rPr>
        <w:t xml:space="preserve">, BIS research paper 53, </w:t>
      </w:r>
      <w:r w:rsidR="00693B19" w:rsidRPr="00005C78">
        <w:rPr>
          <w:rFonts w:ascii="Times New Roman" w:hAnsi="Times New Roman"/>
          <w:sz w:val="24"/>
          <w:szCs w:val="24"/>
        </w:rPr>
        <w:t>London: Department of Business, Innovation and Skills</w:t>
      </w:r>
    </w:p>
    <w:p w:rsidR="00AB050F" w:rsidRDefault="00AB050F" w:rsidP="007F087C">
      <w:pPr>
        <w:spacing w:after="240"/>
        <w:jc w:val="both"/>
        <w:rPr>
          <w:rFonts w:ascii="Times New Roman" w:hAnsi="Times New Roman"/>
          <w:sz w:val="24"/>
          <w:szCs w:val="24"/>
        </w:rPr>
      </w:pPr>
      <w:r w:rsidRPr="00AB050F">
        <w:rPr>
          <w:rFonts w:ascii="Times New Roman" w:hAnsi="Times New Roman"/>
          <w:sz w:val="24"/>
          <w:szCs w:val="24"/>
        </w:rPr>
        <w:t>Devereux</w:t>
      </w:r>
      <w:r w:rsidR="007F087C">
        <w:rPr>
          <w:rFonts w:ascii="Times New Roman" w:hAnsi="Times New Roman"/>
          <w:sz w:val="24"/>
          <w:szCs w:val="24"/>
        </w:rPr>
        <w:t>, P,</w:t>
      </w:r>
      <w:r w:rsidRPr="00AB050F">
        <w:rPr>
          <w:rFonts w:ascii="Times New Roman" w:hAnsi="Times New Roman"/>
          <w:sz w:val="24"/>
          <w:szCs w:val="24"/>
        </w:rPr>
        <w:t xml:space="preserve"> and Hart</w:t>
      </w:r>
      <w:r w:rsidR="007F087C">
        <w:rPr>
          <w:rFonts w:ascii="Times New Roman" w:hAnsi="Times New Roman"/>
          <w:sz w:val="24"/>
          <w:szCs w:val="24"/>
        </w:rPr>
        <w:t xml:space="preserve">, R, (2010), Forced to Be Rich? Returns to Compulsory Schooling in Britain, </w:t>
      </w:r>
      <w:r w:rsidR="007F087C" w:rsidRPr="007F087C">
        <w:rPr>
          <w:rFonts w:ascii="Times New Roman" w:hAnsi="Times New Roman"/>
          <w:i/>
          <w:sz w:val="24"/>
          <w:szCs w:val="24"/>
        </w:rPr>
        <w:t>The Economic Journal</w:t>
      </w:r>
      <w:r w:rsidR="007F087C">
        <w:rPr>
          <w:rFonts w:ascii="Times New Roman" w:hAnsi="Times New Roman"/>
          <w:sz w:val="24"/>
          <w:szCs w:val="24"/>
        </w:rPr>
        <w:t xml:space="preserve"> 1</w:t>
      </w:r>
      <w:r w:rsidR="007F087C" w:rsidRPr="007F087C">
        <w:rPr>
          <w:rFonts w:ascii="Times New Roman" w:hAnsi="Times New Roman"/>
          <w:sz w:val="24"/>
          <w:szCs w:val="24"/>
        </w:rPr>
        <w:t>20</w:t>
      </w:r>
      <w:r w:rsidR="007F087C">
        <w:rPr>
          <w:rFonts w:ascii="Times New Roman" w:hAnsi="Times New Roman"/>
          <w:sz w:val="24"/>
          <w:szCs w:val="24"/>
        </w:rPr>
        <w:t xml:space="preserve"> pp. 1345–1364.</w:t>
      </w:r>
    </w:p>
    <w:p w:rsidR="00C75CA8" w:rsidRPr="00693955" w:rsidRDefault="00C75CA8" w:rsidP="00693B19">
      <w:pPr>
        <w:jc w:val="both"/>
        <w:rPr>
          <w:rFonts w:ascii="Times New Roman" w:hAnsi="Times New Roman"/>
          <w:sz w:val="24"/>
          <w:szCs w:val="24"/>
        </w:rPr>
      </w:pPr>
      <w:r w:rsidRPr="00693955">
        <w:rPr>
          <w:rFonts w:ascii="Times New Roman" w:hAnsi="Times New Roman"/>
          <w:sz w:val="24"/>
          <w:szCs w:val="24"/>
        </w:rPr>
        <w:t xml:space="preserve">Doeringer, P, and Piore, M, (1971), </w:t>
      </w:r>
      <w:r w:rsidRPr="00693955">
        <w:rPr>
          <w:rFonts w:ascii="Times New Roman" w:hAnsi="Times New Roman"/>
          <w:sz w:val="24"/>
          <w:szCs w:val="24"/>
          <w:u w:val="single"/>
        </w:rPr>
        <w:t>Internal Labour Markets and Manpower Analysis</w:t>
      </w:r>
      <w:r w:rsidRPr="00693955">
        <w:rPr>
          <w:rFonts w:ascii="Times New Roman" w:hAnsi="Times New Roman"/>
          <w:sz w:val="24"/>
          <w:szCs w:val="24"/>
        </w:rPr>
        <w:t>, Lexington, Mass: Heath</w:t>
      </w:r>
    </w:p>
    <w:p w:rsidR="00693B19" w:rsidRDefault="00693B19" w:rsidP="00693B19">
      <w:pPr>
        <w:spacing w:after="240"/>
        <w:jc w:val="both"/>
        <w:rPr>
          <w:rFonts w:ascii="Times New Roman" w:hAnsi="Times New Roman"/>
          <w:sz w:val="24"/>
          <w:szCs w:val="24"/>
        </w:rPr>
      </w:pPr>
      <w:r>
        <w:rPr>
          <w:rFonts w:ascii="Times New Roman" w:hAnsi="Times New Roman"/>
          <w:sz w:val="24"/>
          <w:szCs w:val="24"/>
        </w:rPr>
        <w:t>Frazis H and Loewenstein M,</w:t>
      </w:r>
      <w:r w:rsidRPr="00693B19">
        <w:rPr>
          <w:rFonts w:ascii="Times New Roman" w:hAnsi="Times New Roman"/>
          <w:sz w:val="24"/>
          <w:szCs w:val="24"/>
        </w:rPr>
        <w:t xml:space="preserve"> </w:t>
      </w:r>
      <w:r>
        <w:rPr>
          <w:rFonts w:ascii="Times New Roman" w:hAnsi="Times New Roman"/>
          <w:sz w:val="24"/>
          <w:szCs w:val="24"/>
        </w:rPr>
        <w:t>(</w:t>
      </w:r>
      <w:r w:rsidRPr="00693B19">
        <w:rPr>
          <w:rFonts w:ascii="Times New Roman" w:hAnsi="Times New Roman"/>
          <w:sz w:val="24"/>
          <w:szCs w:val="24"/>
        </w:rPr>
        <w:t>2005</w:t>
      </w:r>
      <w:r>
        <w:rPr>
          <w:rFonts w:ascii="Times New Roman" w:hAnsi="Times New Roman"/>
          <w:sz w:val="24"/>
          <w:szCs w:val="24"/>
        </w:rPr>
        <w:t>),</w:t>
      </w:r>
      <w:r w:rsidRPr="00693B19">
        <w:rPr>
          <w:rFonts w:ascii="Times New Roman" w:hAnsi="Times New Roman"/>
          <w:sz w:val="24"/>
          <w:szCs w:val="24"/>
        </w:rPr>
        <w:t xml:space="preserve"> </w:t>
      </w:r>
      <w:r w:rsidRPr="00693B19">
        <w:rPr>
          <w:rFonts w:ascii="Times New Roman" w:hAnsi="Times New Roman"/>
          <w:sz w:val="24"/>
          <w:szCs w:val="24"/>
          <w:u w:val="single"/>
        </w:rPr>
        <w:t>Reexamining the returns to training: functional form, magnitude, and interpretation</w:t>
      </w:r>
      <w:r w:rsidRPr="00693B19">
        <w:rPr>
          <w:rFonts w:ascii="Times New Roman" w:hAnsi="Times New Roman"/>
          <w:sz w:val="24"/>
          <w:szCs w:val="24"/>
        </w:rPr>
        <w:t xml:space="preserve">. </w:t>
      </w:r>
      <w:r w:rsidRPr="00693B19">
        <w:rPr>
          <w:rFonts w:ascii="Times New Roman" w:hAnsi="Times New Roman"/>
          <w:i/>
          <w:sz w:val="24"/>
          <w:szCs w:val="24"/>
        </w:rPr>
        <w:t>Journal of Human Resources</w:t>
      </w:r>
      <w:r w:rsidRPr="00693B19">
        <w:rPr>
          <w:rFonts w:ascii="Times New Roman" w:hAnsi="Times New Roman"/>
          <w:sz w:val="24"/>
          <w:szCs w:val="24"/>
        </w:rPr>
        <w:t xml:space="preserve"> 15(2): 453–476</w:t>
      </w:r>
      <w:r>
        <w:rPr>
          <w:rFonts w:ascii="Times New Roman" w:hAnsi="Times New Roman"/>
          <w:sz w:val="24"/>
          <w:szCs w:val="24"/>
        </w:rPr>
        <w:t>.</w:t>
      </w:r>
    </w:p>
    <w:p w:rsidR="00057B56" w:rsidRDefault="00057B56" w:rsidP="00693B19">
      <w:pPr>
        <w:spacing w:after="240"/>
        <w:jc w:val="both"/>
        <w:rPr>
          <w:rFonts w:ascii="Times New Roman" w:hAnsi="Times New Roman"/>
          <w:sz w:val="24"/>
          <w:szCs w:val="24"/>
        </w:rPr>
      </w:pPr>
      <w:r w:rsidRPr="00057B56">
        <w:rPr>
          <w:rFonts w:ascii="Times New Roman" w:hAnsi="Times New Roman"/>
          <w:sz w:val="24"/>
          <w:szCs w:val="24"/>
        </w:rPr>
        <w:t>Hanushek, E, Schwerdt, G, Wiederhold, S and Woessma</w:t>
      </w:r>
      <w:r w:rsidR="006303C9">
        <w:rPr>
          <w:rFonts w:ascii="Times New Roman" w:hAnsi="Times New Roman"/>
          <w:sz w:val="24"/>
          <w:szCs w:val="24"/>
        </w:rPr>
        <w:t>n</w:t>
      </w:r>
      <w:r>
        <w:rPr>
          <w:rFonts w:ascii="Times New Roman" w:hAnsi="Times New Roman"/>
          <w:sz w:val="24"/>
          <w:szCs w:val="24"/>
        </w:rPr>
        <w:t xml:space="preserve">n, L, (2013), </w:t>
      </w:r>
      <w:r w:rsidRPr="00057B56">
        <w:rPr>
          <w:rFonts w:ascii="Times New Roman" w:hAnsi="Times New Roman"/>
          <w:sz w:val="24"/>
          <w:szCs w:val="24"/>
          <w:u w:val="single"/>
        </w:rPr>
        <w:t>Returns to Skills Around the World: Evidence from PIAAC</w:t>
      </w:r>
      <w:r w:rsidRPr="00057B56">
        <w:rPr>
          <w:rFonts w:ascii="Times New Roman" w:hAnsi="Times New Roman"/>
          <w:sz w:val="24"/>
          <w:szCs w:val="24"/>
        </w:rPr>
        <w:t>, OECD Education Working Papers, No. 101.</w:t>
      </w:r>
    </w:p>
    <w:p w:rsidR="00AB050F" w:rsidRDefault="00AB050F" w:rsidP="00F53B6D">
      <w:pPr>
        <w:spacing w:after="240"/>
        <w:jc w:val="both"/>
        <w:rPr>
          <w:rFonts w:ascii="Times New Roman" w:hAnsi="Times New Roman"/>
          <w:sz w:val="24"/>
          <w:szCs w:val="24"/>
        </w:rPr>
      </w:pPr>
      <w:r>
        <w:rPr>
          <w:rFonts w:ascii="Times New Roman" w:hAnsi="Times New Roman"/>
          <w:sz w:val="24"/>
          <w:szCs w:val="24"/>
        </w:rPr>
        <w:t>Hanushek</w:t>
      </w:r>
      <w:r w:rsidR="007F087C">
        <w:rPr>
          <w:rFonts w:ascii="Times New Roman" w:hAnsi="Times New Roman"/>
          <w:sz w:val="24"/>
          <w:szCs w:val="24"/>
        </w:rPr>
        <w:t>, E</w:t>
      </w:r>
      <w:r>
        <w:rPr>
          <w:rFonts w:ascii="Times New Roman" w:hAnsi="Times New Roman"/>
          <w:sz w:val="24"/>
          <w:szCs w:val="24"/>
        </w:rPr>
        <w:t xml:space="preserve"> and Woessman</w:t>
      </w:r>
      <w:r w:rsidR="006303C9">
        <w:rPr>
          <w:rFonts w:ascii="Times New Roman" w:hAnsi="Times New Roman"/>
          <w:sz w:val="24"/>
          <w:szCs w:val="24"/>
        </w:rPr>
        <w:t>n</w:t>
      </w:r>
      <w:r>
        <w:rPr>
          <w:rFonts w:ascii="Times New Roman" w:hAnsi="Times New Roman"/>
          <w:sz w:val="24"/>
          <w:szCs w:val="24"/>
        </w:rPr>
        <w:t>,</w:t>
      </w:r>
      <w:r w:rsidR="007F087C">
        <w:rPr>
          <w:rFonts w:ascii="Times New Roman" w:hAnsi="Times New Roman"/>
          <w:sz w:val="24"/>
          <w:szCs w:val="24"/>
        </w:rPr>
        <w:t xml:space="preserve"> L,</w:t>
      </w:r>
      <w:r>
        <w:rPr>
          <w:rFonts w:ascii="Times New Roman" w:hAnsi="Times New Roman"/>
          <w:sz w:val="24"/>
          <w:szCs w:val="24"/>
        </w:rPr>
        <w:t xml:space="preserve"> </w:t>
      </w:r>
      <w:r w:rsidR="007F46AC">
        <w:rPr>
          <w:rFonts w:ascii="Times New Roman" w:hAnsi="Times New Roman"/>
          <w:sz w:val="24"/>
          <w:szCs w:val="24"/>
        </w:rPr>
        <w:t>(</w:t>
      </w:r>
      <w:r>
        <w:rPr>
          <w:rFonts w:ascii="Times New Roman" w:hAnsi="Times New Roman"/>
          <w:sz w:val="24"/>
          <w:szCs w:val="24"/>
        </w:rPr>
        <w:t>2008</w:t>
      </w:r>
      <w:r w:rsidR="007F46AC">
        <w:rPr>
          <w:rFonts w:ascii="Times New Roman" w:hAnsi="Times New Roman"/>
          <w:sz w:val="24"/>
          <w:szCs w:val="24"/>
        </w:rPr>
        <w:t xml:space="preserve">), </w:t>
      </w:r>
      <w:r w:rsidR="007F46AC" w:rsidRPr="007F46AC">
        <w:rPr>
          <w:rFonts w:ascii="Times New Roman" w:hAnsi="Times New Roman"/>
          <w:sz w:val="24"/>
          <w:szCs w:val="24"/>
          <w:u w:val="single"/>
        </w:rPr>
        <w:t>The Role of Cognitive Skills in Economic Development</w:t>
      </w:r>
      <w:r w:rsidR="007F46AC">
        <w:rPr>
          <w:rFonts w:ascii="Times New Roman" w:hAnsi="Times New Roman"/>
          <w:sz w:val="24"/>
          <w:szCs w:val="24"/>
        </w:rPr>
        <w:t xml:space="preserve">,  </w:t>
      </w:r>
      <w:r w:rsidR="007F46AC" w:rsidRPr="007F46AC">
        <w:rPr>
          <w:rFonts w:ascii="Times New Roman" w:hAnsi="Times New Roman"/>
          <w:i/>
          <w:sz w:val="24"/>
          <w:szCs w:val="24"/>
        </w:rPr>
        <w:t>Journal of Economic Literature</w:t>
      </w:r>
      <w:r w:rsidR="007F46AC">
        <w:rPr>
          <w:rFonts w:ascii="Times New Roman" w:hAnsi="Times New Roman"/>
          <w:sz w:val="24"/>
          <w:szCs w:val="24"/>
        </w:rPr>
        <w:t>, 46(</w:t>
      </w:r>
      <w:r w:rsidR="007F46AC" w:rsidRPr="007F46AC">
        <w:rPr>
          <w:rFonts w:ascii="Times New Roman" w:hAnsi="Times New Roman"/>
          <w:sz w:val="24"/>
          <w:szCs w:val="24"/>
        </w:rPr>
        <w:t>3</w:t>
      </w:r>
      <w:r w:rsidR="007F46AC">
        <w:rPr>
          <w:rFonts w:ascii="Times New Roman" w:hAnsi="Times New Roman"/>
          <w:sz w:val="24"/>
          <w:szCs w:val="24"/>
        </w:rPr>
        <w:t>)</w:t>
      </w:r>
      <w:r w:rsidR="007F46AC" w:rsidRPr="007F46AC">
        <w:rPr>
          <w:rFonts w:ascii="Times New Roman" w:hAnsi="Times New Roman"/>
          <w:sz w:val="24"/>
          <w:szCs w:val="24"/>
        </w:rPr>
        <w:t>,</w:t>
      </w:r>
      <w:r w:rsidR="007F46AC">
        <w:rPr>
          <w:rFonts w:ascii="Times New Roman" w:hAnsi="Times New Roman"/>
          <w:sz w:val="24"/>
          <w:szCs w:val="24"/>
        </w:rPr>
        <w:t xml:space="preserve"> pp.</w:t>
      </w:r>
      <w:r w:rsidR="007F46AC" w:rsidRPr="007F46AC">
        <w:rPr>
          <w:rFonts w:ascii="Times New Roman" w:hAnsi="Times New Roman"/>
          <w:sz w:val="24"/>
          <w:szCs w:val="24"/>
        </w:rPr>
        <w:t xml:space="preserve"> 607–668</w:t>
      </w:r>
    </w:p>
    <w:p w:rsidR="007F46AC" w:rsidRDefault="007F46AC" w:rsidP="007F46AC">
      <w:pPr>
        <w:spacing w:after="240"/>
        <w:jc w:val="both"/>
        <w:rPr>
          <w:rFonts w:ascii="Times New Roman" w:hAnsi="Times New Roman"/>
          <w:sz w:val="24"/>
          <w:szCs w:val="24"/>
        </w:rPr>
      </w:pPr>
      <w:r w:rsidRPr="007F46AC">
        <w:rPr>
          <w:rFonts w:ascii="Times New Roman" w:hAnsi="Times New Roman"/>
          <w:sz w:val="24"/>
          <w:szCs w:val="24"/>
        </w:rPr>
        <w:t>Harkn</w:t>
      </w:r>
      <w:r>
        <w:rPr>
          <w:rFonts w:ascii="Times New Roman" w:hAnsi="Times New Roman"/>
          <w:sz w:val="24"/>
          <w:szCs w:val="24"/>
        </w:rPr>
        <w:t xml:space="preserve">ess, S. and Machin, S. (1999), </w:t>
      </w:r>
      <w:r w:rsidRPr="007F46AC">
        <w:rPr>
          <w:rFonts w:ascii="Times New Roman" w:hAnsi="Times New Roman"/>
          <w:sz w:val="24"/>
          <w:szCs w:val="24"/>
          <w:u w:val="single"/>
        </w:rPr>
        <w:t>Graduate Earnings in Britain, 1974-95</w:t>
      </w:r>
      <w:r>
        <w:rPr>
          <w:rFonts w:ascii="Times New Roman" w:hAnsi="Times New Roman"/>
          <w:sz w:val="24"/>
          <w:szCs w:val="24"/>
        </w:rPr>
        <w:t xml:space="preserve">. </w:t>
      </w:r>
      <w:r w:rsidRPr="007F46AC">
        <w:rPr>
          <w:rFonts w:ascii="Times New Roman" w:hAnsi="Times New Roman"/>
          <w:sz w:val="24"/>
          <w:szCs w:val="24"/>
        </w:rPr>
        <w:t xml:space="preserve">Department for Employment and Education, Research Report RR95. </w:t>
      </w:r>
    </w:p>
    <w:p w:rsidR="007F46AC" w:rsidRDefault="007F46AC" w:rsidP="007F46AC">
      <w:pPr>
        <w:spacing w:after="240"/>
        <w:jc w:val="both"/>
        <w:rPr>
          <w:rFonts w:ascii="Times New Roman" w:hAnsi="Times New Roman"/>
          <w:sz w:val="24"/>
          <w:szCs w:val="24"/>
        </w:rPr>
      </w:pPr>
      <w:r w:rsidRPr="007F46AC">
        <w:rPr>
          <w:rFonts w:ascii="Times New Roman" w:hAnsi="Times New Roman"/>
          <w:sz w:val="24"/>
          <w:szCs w:val="24"/>
        </w:rPr>
        <w:t>Har</w:t>
      </w:r>
      <w:r>
        <w:rPr>
          <w:rFonts w:ascii="Times New Roman" w:hAnsi="Times New Roman"/>
          <w:sz w:val="24"/>
          <w:szCs w:val="24"/>
        </w:rPr>
        <w:t xml:space="preserve">mon, C. and Walker, I. (1995), </w:t>
      </w:r>
      <w:r w:rsidRPr="007F46AC">
        <w:rPr>
          <w:rFonts w:ascii="Times New Roman" w:hAnsi="Times New Roman"/>
          <w:sz w:val="24"/>
          <w:szCs w:val="24"/>
          <w:u w:val="single"/>
        </w:rPr>
        <w:t>Estimates of the economic return to schooling for the United Kingdom</w:t>
      </w:r>
      <w:r w:rsidRPr="007F46AC">
        <w:rPr>
          <w:rFonts w:ascii="Times New Roman" w:hAnsi="Times New Roman"/>
          <w:sz w:val="24"/>
          <w:szCs w:val="24"/>
        </w:rPr>
        <w:t xml:space="preserve">, </w:t>
      </w:r>
      <w:r w:rsidRPr="007F46AC">
        <w:rPr>
          <w:rFonts w:ascii="Times New Roman" w:hAnsi="Times New Roman"/>
          <w:i/>
          <w:sz w:val="24"/>
          <w:szCs w:val="24"/>
        </w:rPr>
        <w:t>American Economic Review</w:t>
      </w:r>
      <w:r w:rsidRPr="007F46AC">
        <w:rPr>
          <w:rFonts w:ascii="Times New Roman" w:hAnsi="Times New Roman"/>
          <w:sz w:val="24"/>
          <w:szCs w:val="24"/>
        </w:rPr>
        <w:t xml:space="preserve">, </w:t>
      </w:r>
      <w:r>
        <w:rPr>
          <w:rFonts w:ascii="Times New Roman" w:hAnsi="Times New Roman"/>
          <w:sz w:val="24"/>
          <w:szCs w:val="24"/>
        </w:rPr>
        <w:t>85(5)</w:t>
      </w:r>
      <w:r w:rsidRPr="007F46AC">
        <w:rPr>
          <w:rFonts w:ascii="Times New Roman" w:hAnsi="Times New Roman"/>
          <w:sz w:val="24"/>
          <w:szCs w:val="24"/>
        </w:rPr>
        <w:t xml:space="preserve">, </w:t>
      </w:r>
      <w:r>
        <w:rPr>
          <w:rFonts w:ascii="Times New Roman" w:hAnsi="Times New Roman"/>
          <w:sz w:val="24"/>
          <w:szCs w:val="24"/>
        </w:rPr>
        <w:t xml:space="preserve">pp. </w:t>
      </w:r>
      <w:r w:rsidRPr="007F46AC">
        <w:rPr>
          <w:rFonts w:ascii="Times New Roman" w:hAnsi="Times New Roman"/>
          <w:sz w:val="24"/>
          <w:szCs w:val="24"/>
        </w:rPr>
        <w:t xml:space="preserve">1278-1286. </w:t>
      </w:r>
    </w:p>
    <w:p w:rsidR="00AB050F" w:rsidRDefault="00AB050F" w:rsidP="007F46AC">
      <w:pPr>
        <w:spacing w:after="240"/>
        <w:jc w:val="both"/>
        <w:rPr>
          <w:rFonts w:ascii="Times New Roman" w:hAnsi="Times New Roman"/>
          <w:sz w:val="24"/>
          <w:szCs w:val="24"/>
        </w:rPr>
      </w:pPr>
      <w:r w:rsidRPr="00AB050F">
        <w:rPr>
          <w:rFonts w:ascii="Times New Roman" w:hAnsi="Times New Roman"/>
          <w:sz w:val="24"/>
          <w:szCs w:val="24"/>
        </w:rPr>
        <w:t>Katz and Murphy, 1992</w:t>
      </w:r>
      <w:r w:rsidR="007F46AC">
        <w:rPr>
          <w:rFonts w:ascii="Times New Roman" w:hAnsi="Times New Roman"/>
          <w:sz w:val="24"/>
          <w:szCs w:val="24"/>
        </w:rPr>
        <w:t xml:space="preserve">, </w:t>
      </w:r>
      <w:r w:rsidR="007F46AC" w:rsidRPr="007F46AC">
        <w:rPr>
          <w:rFonts w:ascii="Times New Roman" w:hAnsi="Times New Roman"/>
          <w:sz w:val="24"/>
          <w:szCs w:val="24"/>
          <w:u w:val="single"/>
        </w:rPr>
        <w:t>Changes in Relative Wages, 1963-1987: Supply and Demand Factors</w:t>
      </w:r>
      <w:r w:rsidR="007F46AC">
        <w:rPr>
          <w:rFonts w:ascii="Times New Roman" w:hAnsi="Times New Roman"/>
          <w:sz w:val="24"/>
          <w:szCs w:val="24"/>
        </w:rPr>
        <w:t xml:space="preserve">, </w:t>
      </w:r>
      <w:r w:rsidR="007F46AC" w:rsidRPr="007F46AC">
        <w:rPr>
          <w:rFonts w:ascii="Times New Roman" w:hAnsi="Times New Roman"/>
          <w:i/>
          <w:sz w:val="24"/>
          <w:szCs w:val="24"/>
        </w:rPr>
        <w:t>The Quarterly Journal of Economics</w:t>
      </w:r>
      <w:r w:rsidR="007F46AC">
        <w:rPr>
          <w:rFonts w:ascii="Times New Roman" w:hAnsi="Times New Roman"/>
          <w:sz w:val="24"/>
          <w:szCs w:val="24"/>
        </w:rPr>
        <w:t xml:space="preserve">, 107(1), </w:t>
      </w:r>
      <w:r w:rsidR="007F46AC" w:rsidRPr="007F46AC">
        <w:rPr>
          <w:rFonts w:ascii="Times New Roman" w:hAnsi="Times New Roman"/>
          <w:sz w:val="24"/>
          <w:szCs w:val="24"/>
        </w:rPr>
        <w:t>pp. 35-78</w:t>
      </w:r>
      <w:r w:rsidR="007F46AC">
        <w:rPr>
          <w:rFonts w:ascii="Times New Roman" w:hAnsi="Times New Roman"/>
          <w:sz w:val="24"/>
          <w:szCs w:val="24"/>
        </w:rPr>
        <w:t>.</w:t>
      </w:r>
    </w:p>
    <w:p w:rsidR="0038053F" w:rsidRDefault="0038053F" w:rsidP="0038053F">
      <w:pPr>
        <w:spacing w:line="360" w:lineRule="auto"/>
        <w:jc w:val="both"/>
        <w:rPr>
          <w:rFonts w:ascii="Times New Roman" w:hAnsi="Times New Roman"/>
          <w:sz w:val="24"/>
          <w:szCs w:val="24"/>
        </w:rPr>
      </w:pPr>
      <w:r>
        <w:rPr>
          <w:rFonts w:ascii="Times New Roman" w:hAnsi="Times New Roman"/>
          <w:sz w:val="24"/>
          <w:szCs w:val="24"/>
        </w:rPr>
        <w:t xml:space="preserve">Leuven, E, (2004), </w:t>
      </w:r>
      <w:r w:rsidRPr="0038053F">
        <w:rPr>
          <w:rFonts w:ascii="Times New Roman" w:hAnsi="Times New Roman"/>
          <w:sz w:val="24"/>
          <w:szCs w:val="24"/>
          <w:u w:val="single"/>
        </w:rPr>
        <w:t>A review of the wage returns to private sector training</w:t>
      </w:r>
      <w:r>
        <w:rPr>
          <w:rFonts w:ascii="Times New Roman" w:hAnsi="Times New Roman"/>
          <w:sz w:val="24"/>
          <w:szCs w:val="24"/>
        </w:rPr>
        <w:t>, paper presented at t</w:t>
      </w:r>
      <w:r w:rsidRPr="0038053F">
        <w:rPr>
          <w:rFonts w:ascii="Times New Roman" w:hAnsi="Times New Roman"/>
          <w:sz w:val="24"/>
          <w:szCs w:val="24"/>
        </w:rPr>
        <w:t>he joint EC-OECD Seminar on Human Capital and</w:t>
      </w:r>
      <w:r>
        <w:rPr>
          <w:rFonts w:ascii="Times New Roman" w:hAnsi="Times New Roman"/>
          <w:sz w:val="24"/>
          <w:szCs w:val="24"/>
        </w:rPr>
        <w:t xml:space="preserve"> </w:t>
      </w:r>
      <w:r w:rsidRPr="0038053F">
        <w:rPr>
          <w:rFonts w:ascii="Times New Roman" w:hAnsi="Times New Roman"/>
          <w:sz w:val="24"/>
          <w:szCs w:val="24"/>
        </w:rPr>
        <w:t xml:space="preserve">Labour Market Performance, </w:t>
      </w:r>
      <w:r>
        <w:rPr>
          <w:rFonts w:ascii="Times New Roman" w:hAnsi="Times New Roman"/>
          <w:sz w:val="24"/>
          <w:szCs w:val="24"/>
        </w:rPr>
        <w:t>Brussels, December 8</w:t>
      </w:r>
      <w:r w:rsidRPr="0038053F">
        <w:rPr>
          <w:rFonts w:ascii="Times New Roman" w:hAnsi="Times New Roman"/>
          <w:sz w:val="24"/>
          <w:szCs w:val="24"/>
          <w:vertAlign w:val="superscript"/>
        </w:rPr>
        <w:t>th</w:t>
      </w:r>
      <w:r>
        <w:rPr>
          <w:rFonts w:ascii="Times New Roman" w:hAnsi="Times New Roman"/>
          <w:sz w:val="24"/>
          <w:szCs w:val="24"/>
        </w:rPr>
        <w:t>, accessed online on April 15</w:t>
      </w:r>
      <w:r w:rsidRPr="0038053F">
        <w:rPr>
          <w:rFonts w:ascii="Times New Roman" w:hAnsi="Times New Roman"/>
          <w:sz w:val="24"/>
          <w:szCs w:val="24"/>
          <w:vertAlign w:val="superscript"/>
        </w:rPr>
        <w:t>th</w:t>
      </w:r>
      <w:r>
        <w:rPr>
          <w:rFonts w:ascii="Times New Roman" w:hAnsi="Times New Roman"/>
          <w:sz w:val="24"/>
          <w:szCs w:val="24"/>
        </w:rPr>
        <w:t xml:space="preserve"> 2015: </w:t>
      </w:r>
      <w:hyperlink r:id="rId8" w:history="1">
        <w:r w:rsidRPr="00240F46">
          <w:rPr>
            <w:rStyle w:val="Hyperlink"/>
            <w:rFonts w:ascii="Times New Roman" w:hAnsi="Times New Roman"/>
            <w:sz w:val="24"/>
            <w:szCs w:val="24"/>
          </w:rPr>
          <w:t>http://www.oecd.org/els/emp/34932279.pdf</w:t>
        </w:r>
      </w:hyperlink>
      <w:r>
        <w:rPr>
          <w:rFonts w:ascii="Times New Roman" w:hAnsi="Times New Roman"/>
          <w:sz w:val="24"/>
          <w:szCs w:val="24"/>
        </w:rPr>
        <w:t xml:space="preserve"> </w:t>
      </w:r>
    </w:p>
    <w:p w:rsidR="00D94FD1" w:rsidRDefault="00D94FD1" w:rsidP="00D94FD1">
      <w:pPr>
        <w:spacing w:line="360" w:lineRule="auto"/>
        <w:jc w:val="both"/>
        <w:rPr>
          <w:rFonts w:ascii="Times New Roman" w:hAnsi="Times New Roman"/>
          <w:sz w:val="24"/>
          <w:szCs w:val="24"/>
        </w:rPr>
      </w:pPr>
      <w:r>
        <w:rPr>
          <w:rFonts w:ascii="Times New Roman" w:hAnsi="Times New Roman"/>
          <w:sz w:val="24"/>
          <w:szCs w:val="24"/>
        </w:rPr>
        <w:t>Leuven</w:t>
      </w:r>
      <w:r w:rsidR="0038053F">
        <w:rPr>
          <w:rFonts w:ascii="Times New Roman" w:hAnsi="Times New Roman"/>
          <w:sz w:val="24"/>
          <w:szCs w:val="24"/>
        </w:rPr>
        <w:t>, E,</w:t>
      </w:r>
      <w:r>
        <w:rPr>
          <w:rFonts w:ascii="Times New Roman" w:hAnsi="Times New Roman"/>
          <w:sz w:val="24"/>
          <w:szCs w:val="24"/>
        </w:rPr>
        <w:t xml:space="preserve"> and Oosterbeek</w:t>
      </w:r>
      <w:r w:rsidR="0038053F">
        <w:rPr>
          <w:rFonts w:ascii="Times New Roman" w:hAnsi="Times New Roman"/>
          <w:sz w:val="24"/>
          <w:szCs w:val="24"/>
        </w:rPr>
        <w:t>, H,</w:t>
      </w:r>
      <w:r>
        <w:rPr>
          <w:rFonts w:ascii="Times New Roman" w:hAnsi="Times New Roman"/>
          <w:sz w:val="24"/>
          <w:szCs w:val="24"/>
        </w:rPr>
        <w:t xml:space="preserve"> (2008</w:t>
      </w:r>
      <w:r w:rsidRPr="0038053F">
        <w:rPr>
          <w:rFonts w:ascii="Times New Roman" w:hAnsi="Times New Roman"/>
          <w:sz w:val="24"/>
          <w:szCs w:val="24"/>
          <w:u w:val="single"/>
        </w:rPr>
        <w:t>)</w:t>
      </w:r>
      <w:r w:rsidR="0038053F" w:rsidRPr="0038053F">
        <w:rPr>
          <w:rFonts w:ascii="Times New Roman" w:hAnsi="Times New Roman"/>
          <w:sz w:val="24"/>
          <w:szCs w:val="24"/>
          <w:u w:val="single"/>
        </w:rPr>
        <w:t>, An alternative approach to estimate the wage returns to private-sector training</w:t>
      </w:r>
      <w:r w:rsidR="0038053F">
        <w:rPr>
          <w:rFonts w:ascii="Times New Roman" w:hAnsi="Times New Roman"/>
          <w:sz w:val="24"/>
          <w:szCs w:val="24"/>
        </w:rPr>
        <w:t>,</w:t>
      </w:r>
      <w:r w:rsidR="0038053F" w:rsidRPr="0038053F">
        <w:rPr>
          <w:rFonts w:ascii="Times New Roman" w:hAnsi="Times New Roman"/>
          <w:sz w:val="24"/>
          <w:szCs w:val="24"/>
        </w:rPr>
        <w:t xml:space="preserve"> </w:t>
      </w:r>
      <w:r w:rsidR="0038053F" w:rsidRPr="0038053F">
        <w:rPr>
          <w:rFonts w:ascii="Times New Roman" w:hAnsi="Times New Roman"/>
          <w:i/>
          <w:sz w:val="24"/>
          <w:szCs w:val="24"/>
        </w:rPr>
        <w:t>Journal of Applied Econometrics</w:t>
      </w:r>
      <w:r w:rsidR="0038053F">
        <w:rPr>
          <w:rFonts w:ascii="Times New Roman" w:hAnsi="Times New Roman"/>
          <w:sz w:val="24"/>
          <w:szCs w:val="24"/>
        </w:rPr>
        <w:t xml:space="preserve"> 23, pp.</w:t>
      </w:r>
      <w:r w:rsidR="0038053F" w:rsidRPr="0038053F">
        <w:rPr>
          <w:rFonts w:ascii="Times New Roman" w:hAnsi="Times New Roman"/>
          <w:sz w:val="24"/>
          <w:szCs w:val="24"/>
        </w:rPr>
        <w:t xml:space="preserve"> 423-434</w:t>
      </w:r>
    </w:p>
    <w:p w:rsidR="00FC667C" w:rsidRDefault="00693B19" w:rsidP="00693B19">
      <w:pPr>
        <w:spacing w:after="240"/>
        <w:jc w:val="both"/>
        <w:rPr>
          <w:rFonts w:ascii="Times New Roman" w:hAnsi="Times New Roman"/>
          <w:sz w:val="24"/>
          <w:szCs w:val="24"/>
        </w:rPr>
      </w:pPr>
      <w:r>
        <w:rPr>
          <w:rFonts w:ascii="Times New Roman" w:hAnsi="Times New Roman"/>
          <w:sz w:val="24"/>
          <w:szCs w:val="24"/>
        </w:rPr>
        <w:t>Loewenstein, M. and Spletzer, J,</w:t>
      </w:r>
      <w:r w:rsidRPr="00693B19">
        <w:rPr>
          <w:rFonts w:ascii="Times New Roman" w:hAnsi="Times New Roman"/>
          <w:sz w:val="24"/>
          <w:szCs w:val="24"/>
        </w:rPr>
        <w:t xml:space="preserve"> (1998). Dividing the costs and returns to general</w:t>
      </w:r>
      <w:r>
        <w:rPr>
          <w:rFonts w:ascii="Times New Roman" w:hAnsi="Times New Roman"/>
          <w:sz w:val="24"/>
          <w:szCs w:val="24"/>
        </w:rPr>
        <w:t xml:space="preserve"> </w:t>
      </w:r>
      <w:r w:rsidRPr="00693B19">
        <w:rPr>
          <w:rFonts w:ascii="Times New Roman" w:hAnsi="Times New Roman"/>
          <w:sz w:val="24"/>
          <w:szCs w:val="24"/>
        </w:rPr>
        <w:t xml:space="preserve">training. </w:t>
      </w:r>
      <w:r w:rsidRPr="00693B19">
        <w:rPr>
          <w:rFonts w:ascii="Times New Roman" w:hAnsi="Times New Roman"/>
          <w:i/>
          <w:sz w:val="24"/>
          <w:szCs w:val="24"/>
        </w:rPr>
        <w:t>Journal of Labor Economics</w:t>
      </w:r>
      <w:r w:rsidRPr="00693B19">
        <w:rPr>
          <w:rFonts w:ascii="Times New Roman" w:hAnsi="Times New Roman"/>
          <w:sz w:val="24"/>
          <w:szCs w:val="24"/>
        </w:rPr>
        <w:t>, 16:142–171.</w:t>
      </w:r>
      <w:r w:rsidR="00FC667C" w:rsidRPr="00FC667C">
        <w:rPr>
          <w:rFonts w:ascii="Times New Roman" w:hAnsi="Times New Roman"/>
          <w:sz w:val="24"/>
          <w:szCs w:val="24"/>
        </w:rPr>
        <w:tab/>
      </w:r>
    </w:p>
    <w:p w:rsidR="00AB050F" w:rsidRDefault="007F46AC" w:rsidP="00F53B6D">
      <w:pPr>
        <w:spacing w:after="240"/>
        <w:jc w:val="both"/>
        <w:rPr>
          <w:rFonts w:ascii="Times New Roman" w:hAnsi="Times New Roman"/>
          <w:sz w:val="24"/>
          <w:szCs w:val="24"/>
        </w:rPr>
      </w:pPr>
      <w:r>
        <w:rPr>
          <w:rFonts w:ascii="Times New Roman" w:hAnsi="Times New Roman"/>
          <w:sz w:val="24"/>
          <w:szCs w:val="24"/>
        </w:rPr>
        <w:t>M</w:t>
      </w:r>
      <w:r w:rsidR="00AB050F" w:rsidRPr="00AB050F">
        <w:rPr>
          <w:rFonts w:ascii="Times New Roman" w:hAnsi="Times New Roman"/>
          <w:sz w:val="24"/>
          <w:szCs w:val="24"/>
        </w:rPr>
        <w:t xml:space="preserve">cIntosh, S, (2006), </w:t>
      </w:r>
      <w:r w:rsidR="00AB050F" w:rsidRPr="007F46AC">
        <w:rPr>
          <w:rFonts w:ascii="Times New Roman" w:hAnsi="Times New Roman"/>
          <w:sz w:val="24"/>
          <w:szCs w:val="24"/>
          <w:u w:val="single"/>
        </w:rPr>
        <w:t>Further Analysis of the Returns to Academic and Vocational Qualifications</w:t>
      </w:r>
      <w:r w:rsidR="00AB050F" w:rsidRPr="00AB050F">
        <w:rPr>
          <w:rFonts w:ascii="Times New Roman" w:hAnsi="Times New Roman"/>
          <w:sz w:val="24"/>
          <w:szCs w:val="24"/>
        </w:rPr>
        <w:t xml:space="preserve">, </w:t>
      </w:r>
      <w:r w:rsidR="00AB050F" w:rsidRPr="007F46AC">
        <w:rPr>
          <w:rFonts w:ascii="Times New Roman" w:hAnsi="Times New Roman"/>
          <w:i/>
          <w:sz w:val="24"/>
          <w:szCs w:val="24"/>
        </w:rPr>
        <w:t>Oxford Bulletin of Economics and Statistics</w:t>
      </w:r>
      <w:r w:rsidR="00AB050F" w:rsidRPr="00AB050F">
        <w:rPr>
          <w:rFonts w:ascii="Times New Roman" w:hAnsi="Times New Roman"/>
          <w:sz w:val="24"/>
          <w:szCs w:val="24"/>
        </w:rPr>
        <w:t>, 68 (2) pp. 225-251.</w:t>
      </w:r>
    </w:p>
    <w:p w:rsidR="00D02AD1" w:rsidRDefault="00D02AD1" w:rsidP="00F53B6D">
      <w:pPr>
        <w:spacing w:after="240"/>
        <w:jc w:val="both"/>
        <w:rPr>
          <w:rFonts w:ascii="Times New Roman" w:hAnsi="Times New Roman"/>
          <w:sz w:val="24"/>
          <w:szCs w:val="24"/>
        </w:rPr>
      </w:pPr>
      <w:r w:rsidRPr="00793A4A">
        <w:rPr>
          <w:rFonts w:ascii="Times New Roman" w:hAnsi="Times New Roman"/>
          <w:sz w:val="24"/>
          <w:szCs w:val="24"/>
        </w:rPr>
        <w:t>Mincer</w:t>
      </w:r>
      <w:r w:rsidR="005C5CC0">
        <w:rPr>
          <w:rFonts w:ascii="Times New Roman" w:hAnsi="Times New Roman"/>
          <w:sz w:val="24"/>
          <w:szCs w:val="24"/>
        </w:rPr>
        <w:t>,</w:t>
      </w:r>
      <w:r w:rsidR="00C256E5">
        <w:rPr>
          <w:rFonts w:ascii="Times New Roman" w:hAnsi="Times New Roman"/>
          <w:sz w:val="24"/>
          <w:szCs w:val="24"/>
        </w:rPr>
        <w:t xml:space="preserve"> J,</w:t>
      </w:r>
      <w:r w:rsidR="005C5CC0">
        <w:rPr>
          <w:rFonts w:ascii="Times New Roman" w:hAnsi="Times New Roman"/>
          <w:sz w:val="24"/>
          <w:szCs w:val="24"/>
        </w:rPr>
        <w:t xml:space="preserve"> </w:t>
      </w:r>
      <w:r w:rsidR="00C256E5">
        <w:rPr>
          <w:rFonts w:ascii="Times New Roman" w:hAnsi="Times New Roman"/>
          <w:sz w:val="24"/>
          <w:szCs w:val="24"/>
        </w:rPr>
        <w:t>(</w:t>
      </w:r>
      <w:r w:rsidR="005C5CC0">
        <w:rPr>
          <w:rFonts w:ascii="Times New Roman" w:hAnsi="Times New Roman"/>
          <w:sz w:val="24"/>
          <w:szCs w:val="24"/>
        </w:rPr>
        <w:t>1958</w:t>
      </w:r>
      <w:r w:rsidR="00C256E5">
        <w:rPr>
          <w:rFonts w:ascii="Times New Roman" w:hAnsi="Times New Roman"/>
          <w:sz w:val="24"/>
          <w:szCs w:val="24"/>
        </w:rPr>
        <w:t xml:space="preserve">), </w:t>
      </w:r>
      <w:r w:rsidR="00C256E5" w:rsidRPr="00C256E5">
        <w:rPr>
          <w:rFonts w:ascii="Times New Roman" w:hAnsi="Times New Roman"/>
          <w:sz w:val="24"/>
          <w:szCs w:val="24"/>
          <w:u w:val="single"/>
        </w:rPr>
        <w:t>Investment in Human Capital and Personal Income Distribution</w:t>
      </w:r>
      <w:r w:rsidR="00C256E5">
        <w:rPr>
          <w:rFonts w:ascii="Times New Roman" w:hAnsi="Times New Roman"/>
          <w:sz w:val="24"/>
          <w:szCs w:val="24"/>
        </w:rPr>
        <w:t xml:space="preserve">, </w:t>
      </w:r>
      <w:r w:rsidR="00C256E5" w:rsidRPr="00C256E5">
        <w:rPr>
          <w:rFonts w:ascii="Times New Roman" w:hAnsi="Times New Roman"/>
          <w:i/>
          <w:sz w:val="24"/>
          <w:szCs w:val="24"/>
        </w:rPr>
        <w:t>Journal of Political Economy</w:t>
      </w:r>
      <w:r w:rsidR="00C256E5">
        <w:rPr>
          <w:rFonts w:ascii="Times New Roman" w:hAnsi="Times New Roman"/>
          <w:sz w:val="24"/>
          <w:szCs w:val="24"/>
        </w:rPr>
        <w:t>, 66(4), pp 281-302.</w:t>
      </w:r>
    </w:p>
    <w:p w:rsidR="005C5CC0" w:rsidRPr="00793A4A" w:rsidRDefault="005C5CC0" w:rsidP="00F53B6D">
      <w:pPr>
        <w:spacing w:after="240"/>
        <w:jc w:val="both"/>
        <w:rPr>
          <w:rFonts w:ascii="Times New Roman" w:hAnsi="Times New Roman"/>
          <w:sz w:val="24"/>
          <w:szCs w:val="24"/>
        </w:rPr>
      </w:pPr>
      <w:r w:rsidRPr="00793A4A">
        <w:rPr>
          <w:rFonts w:ascii="Times New Roman" w:hAnsi="Times New Roman"/>
          <w:sz w:val="24"/>
          <w:szCs w:val="24"/>
        </w:rPr>
        <w:t>Mincer</w:t>
      </w:r>
      <w:r>
        <w:rPr>
          <w:rFonts w:ascii="Times New Roman" w:hAnsi="Times New Roman"/>
          <w:sz w:val="24"/>
          <w:szCs w:val="24"/>
        </w:rPr>
        <w:t>,</w:t>
      </w:r>
      <w:r w:rsidR="00C256E5">
        <w:rPr>
          <w:rFonts w:ascii="Times New Roman" w:hAnsi="Times New Roman"/>
          <w:sz w:val="24"/>
          <w:szCs w:val="24"/>
        </w:rPr>
        <w:t xml:space="preserve"> J,</w:t>
      </w:r>
      <w:r>
        <w:rPr>
          <w:rFonts w:ascii="Times New Roman" w:hAnsi="Times New Roman"/>
          <w:sz w:val="24"/>
          <w:szCs w:val="24"/>
        </w:rPr>
        <w:t xml:space="preserve"> </w:t>
      </w:r>
      <w:r w:rsidR="00C256E5">
        <w:rPr>
          <w:rFonts w:ascii="Times New Roman" w:hAnsi="Times New Roman"/>
          <w:sz w:val="24"/>
          <w:szCs w:val="24"/>
        </w:rPr>
        <w:t>(</w:t>
      </w:r>
      <w:r>
        <w:rPr>
          <w:rFonts w:ascii="Times New Roman" w:hAnsi="Times New Roman"/>
          <w:sz w:val="24"/>
          <w:szCs w:val="24"/>
        </w:rPr>
        <w:t>1970</w:t>
      </w:r>
      <w:r w:rsidR="00C256E5">
        <w:rPr>
          <w:rFonts w:ascii="Times New Roman" w:hAnsi="Times New Roman"/>
          <w:sz w:val="24"/>
          <w:szCs w:val="24"/>
        </w:rPr>
        <w:t xml:space="preserve">), </w:t>
      </w:r>
      <w:r w:rsidR="00C256E5" w:rsidRPr="00C256E5">
        <w:rPr>
          <w:rFonts w:ascii="Times New Roman" w:hAnsi="Times New Roman"/>
          <w:sz w:val="24"/>
          <w:szCs w:val="24"/>
          <w:u w:val="single"/>
        </w:rPr>
        <w:t>The Distribution of Labour Incomes: A survey with special reference to the human capital approach</w:t>
      </w:r>
      <w:r w:rsidR="00C256E5">
        <w:rPr>
          <w:rFonts w:ascii="Times New Roman" w:hAnsi="Times New Roman"/>
          <w:sz w:val="24"/>
          <w:szCs w:val="24"/>
        </w:rPr>
        <w:t xml:space="preserve">, </w:t>
      </w:r>
      <w:r w:rsidR="00C256E5" w:rsidRPr="00C256E5">
        <w:rPr>
          <w:rFonts w:ascii="Times New Roman" w:hAnsi="Times New Roman"/>
          <w:i/>
          <w:sz w:val="24"/>
          <w:szCs w:val="24"/>
        </w:rPr>
        <w:t>Journal of Economic Literature</w:t>
      </w:r>
      <w:r w:rsidR="00C256E5">
        <w:rPr>
          <w:rFonts w:ascii="Times New Roman" w:hAnsi="Times New Roman"/>
          <w:sz w:val="24"/>
          <w:szCs w:val="24"/>
        </w:rPr>
        <w:t xml:space="preserve"> 8(1), pp. 1-26.</w:t>
      </w:r>
    </w:p>
    <w:p w:rsidR="005C5CC0" w:rsidRPr="00793A4A" w:rsidRDefault="005C5CC0" w:rsidP="00F53B6D">
      <w:pPr>
        <w:spacing w:after="240"/>
        <w:jc w:val="both"/>
        <w:rPr>
          <w:rFonts w:ascii="Times New Roman" w:hAnsi="Times New Roman"/>
          <w:sz w:val="24"/>
          <w:szCs w:val="24"/>
        </w:rPr>
      </w:pPr>
      <w:r w:rsidRPr="00793A4A">
        <w:rPr>
          <w:rFonts w:ascii="Times New Roman" w:hAnsi="Times New Roman"/>
          <w:sz w:val="24"/>
          <w:szCs w:val="24"/>
        </w:rPr>
        <w:lastRenderedPageBreak/>
        <w:t>Mincer</w:t>
      </w:r>
      <w:r>
        <w:rPr>
          <w:rFonts w:ascii="Times New Roman" w:hAnsi="Times New Roman"/>
          <w:sz w:val="24"/>
          <w:szCs w:val="24"/>
        </w:rPr>
        <w:t xml:space="preserve">, </w:t>
      </w:r>
      <w:r w:rsidR="00C256E5">
        <w:rPr>
          <w:rFonts w:ascii="Times New Roman" w:hAnsi="Times New Roman"/>
          <w:sz w:val="24"/>
          <w:szCs w:val="24"/>
        </w:rPr>
        <w:t>J, (</w:t>
      </w:r>
      <w:r>
        <w:rPr>
          <w:rFonts w:ascii="Times New Roman" w:hAnsi="Times New Roman"/>
          <w:sz w:val="24"/>
          <w:szCs w:val="24"/>
        </w:rPr>
        <w:t>1974</w:t>
      </w:r>
      <w:r w:rsidR="00C256E5">
        <w:rPr>
          <w:rFonts w:ascii="Times New Roman" w:hAnsi="Times New Roman"/>
          <w:sz w:val="24"/>
          <w:szCs w:val="24"/>
        </w:rPr>
        <w:t xml:space="preserve">), </w:t>
      </w:r>
      <w:r w:rsidR="00C256E5" w:rsidRPr="00C256E5">
        <w:rPr>
          <w:rFonts w:ascii="Times New Roman" w:hAnsi="Times New Roman"/>
          <w:i/>
          <w:sz w:val="24"/>
          <w:szCs w:val="24"/>
        </w:rPr>
        <w:t>Schooling, Experience and Earnings</w:t>
      </w:r>
      <w:r w:rsidR="00C256E5">
        <w:rPr>
          <w:rFonts w:ascii="Times New Roman" w:hAnsi="Times New Roman"/>
          <w:sz w:val="24"/>
          <w:szCs w:val="24"/>
        </w:rPr>
        <w:t>, New York: National Bureau of Economic Research.</w:t>
      </w:r>
    </w:p>
    <w:p w:rsidR="00B75415" w:rsidRDefault="00B75415" w:rsidP="00F53B6D">
      <w:pPr>
        <w:spacing w:after="240"/>
        <w:jc w:val="both"/>
        <w:rPr>
          <w:rFonts w:ascii="Times New Roman" w:hAnsi="Times New Roman"/>
          <w:sz w:val="24"/>
          <w:szCs w:val="24"/>
        </w:rPr>
      </w:pPr>
      <w:r>
        <w:rPr>
          <w:rFonts w:ascii="Times New Roman" w:hAnsi="Times New Roman"/>
          <w:sz w:val="24"/>
          <w:szCs w:val="24"/>
        </w:rPr>
        <w:t xml:space="preserve">Montenegro, C, and </w:t>
      </w:r>
      <w:r w:rsidRPr="00B75415">
        <w:rPr>
          <w:rFonts w:ascii="Times New Roman" w:hAnsi="Times New Roman"/>
          <w:sz w:val="24"/>
          <w:szCs w:val="24"/>
        </w:rPr>
        <w:t>Patrinos</w:t>
      </w:r>
      <w:r>
        <w:rPr>
          <w:rFonts w:ascii="Times New Roman" w:hAnsi="Times New Roman"/>
          <w:sz w:val="24"/>
          <w:szCs w:val="24"/>
        </w:rPr>
        <w:t xml:space="preserve">, H, (2014), </w:t>
      </w:r>
      <w:r w:rsidRPr="00B75415">
        <w:rPr>
          <w:rFonts w:ascii="Times New Roman" w:hAnsi="Times New Roman"/>
          <w:sz w:val="24"/>
          <w:szCs w:val="24"/>
        </w:rPr>
        <w:t>Comparable Estimates of Returns to Schooling Around the World</w:t>
      </w:r>
      <w:r>
        <w:rPr>
          <w:rFonts w:ascii="Times New Roman" w:hAnsi="Times New Roman"/>
          <w:sz w:val="24"/>
          <w:szCs w:val="24"/>
        </w:rPr>
        <w:t>.</w:t>
      </w:r>
    </w:p>
    <w:p w:rsidR="00AB050F" w:rsidRDefault="00C256E5" w:rsidP="00F53B6D">
      <w:pPr>
        <w:spacing w:after="240"/>
        <w:jc w:val="both"/>
        <w:rPr>
          <w:rFonts w:ascii="Times New Roman" w:hAnsi="Times New Roman"/>
          <w:sz w:val="24"/>
          <w:szCs w:val="24"/>
        </w:rPr>
      </w:pPr>
      <w:r>
        <w:rPr>
          <w:rFonts w:ascii="Times New Roman" w:hAnsi="Times New Roman"/>
          <w:sz w:val="24"/>
          <w:szCs w:val="24"/>
        </w:rPr>
        <w:t xml:space="preserve">Mouganie, P, (2014), </w:t>
      </w:r>
      <w:r w:rsidRPr="00C256E5">
        <w:rPr>
          <w:rFonts w:ascii="Times New Roman" w:hAnsi="Times New Roman"/>
          <w:sz w:val="24"/>
          <w:szCs w:val="24"/>
          <w:u w:val="single"/>
        </w:rPr>
        <w:t>The Effects of Conscription on Education and Earnings: Regression Discontinuity Evidence</w:t>
      </w:r>
      <w:r w:rsidRPr="00C256E5">
        <w:rPr>
          <w:rFonts w:ascii="Times New Roman" w:hAnsi="Times New Roman"/>
          <w:sz w:val="24"/>
          <w:szCs w:val="24"/>
        </w:rPr>
        <w:t xml:space="preserve">, unpublished </w:t>
      </w:r>
      <w:r>
        <w:rPr>
          <w:rFonts w:ascii="Times New Roman" w:hAnsi="Times New Roman"/>
          <w:sz w:val="24"/>
          <w:szCs w:val="24"/>
        </w:rPr>
        <w:t xml:space="preserve"> working paper, accessed online 10</w:t>
      </w:r>
      <w:r w:rsidRPr="00C256E5">
        <w:rPr>
          <w:rFonts w:ascii="Times New Roman" w:hAnsi="Times New Roman"/>
          <w:sz w:val="24"/>
          <w:szCs w:val="24"/>
          <w:vertAlign w:val="superscript"/>
        </w:rPr>
        <w:t>th</w:t>
      </w:r>
      <w:r>
        <w:rPr>
          <w:rFonts w:ascii="Times New Roman" w:hAnsi="Times New Roman"/>
          <w:sz w:val="24"/>
          <w:szCs w:val="24"/>
        </w:rPr>
        <w:t xml:space="preserve"> April 2015 </w:t>
      </w:r>
      <w:r w:rsidRPr="00C256E5">
        <w:rPr>
          <w:rFonts w:ascii="Times New Roman" w:hAnsi="Times New Roman"/>
          <w:sz w:val="24"/>
          <w:szCs w:val="24"/>
        </w:rPr>
        <w:t xml:space="preserve">at SSRN: </w:t>
      </w:r>
      <w:hyperlink r:id="rId9" w:history="1">
        <w:r w:rsidRPr="00AF744B">
          <w:rPr>
            <w:rStyle w:val="Hyperlink"/>
            <w:rFonts w:ascii="Times New Roman" w:hAnsi="Times New Roman"/>
            <w:sz w:val="24"/>
            <w:szCs w:val="24"/>
          </w:rPr>
          <w:t>http://ssrn.com/abstract=2494651</w:t>
        </w:r>
      </w:hyperlink>
      <w:r>
        <w:rPr>
          <w:rFonts w:ascii="Times New Roman" w:hAnsi="Times New Roman"/>
          <w:sz w:val="24"/>
          <w:szCs w:val="24"/>
        </w:rPr>
        <w:t xml:space="preserve">. </w:t>
      </w:r>
    </w:p>
    <w:p w:rsidR="007A2EC3" w:rsidRDefault="007A2EC3" w:rsidP="00F53B6D">
      <w:pPr>
        <w:spacing w:after="240"/>
        <w:jc w:val="both"/>
        <w:rPr>
          <w:rStyle w:val="Hyperlink"/>
          <w:rFonts w:ascii="Times New Roman" w:hAnsi="Times New Roman"/>
          <w:sz w:val="24"/>
          <w:szCs w:val="24"/>
        </w:rPr>
      </w:pPr>
      <w:r>
        <w:rPr>
          <w:rFonts w:ascii="Times New Roman" w:hAnsi="Times New Roman"/>
          <w:sz w:val="24"/>
          <w:szCs w:val="24"/>
        </w:rPr>
        <w:t xml:space="preserve">Neumark, D, Salas, J. M. I, and Wascher, W, (2013), </w:t>
      </w:r>
      <w:r w:rsidRPr="000F625D">
        <w:rPr>
          <w:rFonts w:ascii="Times New Roman" w:hAnsi="Times New Roman"/>
          <w:sz w:val="24"/>
          <w:szCs w:val="24"/>
          <w:u w:val="single"/>
        </w:rPr>
        <w:t>Revisiting the Minimum Wage-Employment Debate: Throwing Out the Baby with the Bathwater</w:t>
      </w:r>
      <w:r>
        <w:rPr>
          <w:rFonts w:ascii="Times New Roman" w:hAnsi="Times New Roman"/>
          <w:sz w:val="24"/>
          <w:szCs w:val="24"/>
        </w:rPr>
        <w:t>?, NBER Working Paper No. 18681</w:t>
      </w:r>
      <w:r w:rsidR="00C256E5">
        <w:rPr>
          <w:rFonts w:ascii="Times New Roman" w:hAnsi="Times New Roman"/>
          <w:sz w:val="24"/>
          <w:szCs w:val="24"/>
        </w:rPr>
        <w:t>.</w:t>
      </w:r>
    </w:p>
    <w:p w:rsidR="007468A1" w:rsidRPr="007A2EC3" w:rsidRDefault="007468A1" w:rsidP="007468A1">
      <w:pPr>
        <w:spacing w:after="240"/>
        <w:jc w:val="both"/>
        <w:rPr>
          <w:rFonts w:ascii="Times New Roman" w:hAnsi="Times New Roman"/>
          <w:sz w:val="24"/>
          <w:szCs w:val="24"/>
        </w:rPr>
      </w:pPr>
      <w:r w:rsidRPr="007A2EC3">
        <w:rPr>
          <w:rFonts w:ascii="Times New Roman" w:hAnsi="Times New Roman"/>
          <w:sz w:val="24"/>
          <w:szCs w:val="24"/>
        </w:rPr>
        <w:t>O’Leary</w:t>
      </w:r>
      <w:r w:rsidR="00C256E5">
        <w:rPr>
          <w:rFonts w:ascii="Times New Roman" w:hAnsi="Times New Roman"/>
          <w:sz w:val="24"/>
          <w:szCs w:val="24"/>
        </w:rPr>
        <w:t xml:space="preserve">, N, and Sloane, P, </w:t>
      </w:r>
      <w:r w:rsidRPr="007A2EC3">
        <w:rPr>
          <w:rFonts w:ascii="Times New Roman" w:hAnsi="Times New Roman"/>
          <w:sz w:val="24"/>
          <w:szCs w:val="24"/>
        </w:rPr>
        <w:t>(2005)</w:t>
      </w:r>
      <w:r w:rsidR="00C256E5">
        <w:rPr>
          <w:rFonts w:ascii="Times New Roman" w:hAnsi="Times New Roman"/>
          <w:sz w:val="24"/>
          <w:szCs w:val="24"/>
        </w:rPr>
        <w:t xml:space="preserve">, </w:t>
      </w:r>
      <w:r w:rsidR="00C256E5" w:rsidRPr="00C256E5">
        <w:rPr>
          <w:rFonts w:ascii="Times New Roman" w:hAnsi="Times New Roman"/>
          <w:sz w:val="24"/>
          <w:szCs w:val="24"/>
          <w:u w:val="single"/>
        </w:rPr>
        <w:t>The Return to a University Education in Britain, National Institute Economic Review</w:t>
      </w:r>
      <w:r w:rsidR="00C256E5" w:rsidRPr="00C256E5">
        <w:rPr>
          <w:rFonts w:ascii="Times New Roman" w:hAnsi="Times New Roman"/>
          <w:sz w:val="24"/>
          <w:szCs w:val="24"/>
        </w:rPr>
        <w:t xml:space="preserve"> 193</w:t>
      </w:r>
      <w:r w:rsidR="00C256E5">
        <w:rPr>
          <w:rFonts w:ascii="Times New Roman" w:hAnsi="Times New Roman"/>
          <w:sz w:val="24"/>
          <w:szCs w:val="24"/>
        </w:rPr>
        <w:t>(</w:t>
      </w:r>
      <w:r w:rsidR="00C256E5" w:rsidRPr="00C256E5">
        <w:rPr>
          <w:rFonts w:ascii="Times New Roman" w:hAnsi="Times New Roman"/>
          <w:sz w:val="24"/>
          <w:szCs w:val="24"/>
        </w:rPr>
        <w:t>1</w:t>
      </w:r>
      <w:r w:rsidR="00C256E5">
        <w:rPr>
          <w:rFonts w:ascii="Times New Roman" w:hAnsi="Times New Roman"/>
          <w:sz w:val="24"/>
          <w:szCs w:val="24"/>
        </w:rPr>
        <w:t>), pp.</w:t>
      </w:r>
      <w:r w:rsidR="00C256E5" w:rsidRPr="00C256E5">
        <w:rPr>
          <w:rFonts w:ascii="Times New Roman" w:hAnsi="Times New Roman"/>
          <w:sz w:val="24"/>
          <w:szCs w:val="24"/>
        </w:rPr>
        <w:t xml:space="preserve"> 75-89</w:t>
      </w:r>
      <w:r w:rsidR="00C256E5">
        <w:rPr>
          <w:rFonts w:ascii="Times New Roman" w:hAnsi="Times New Roman"/>
          <w:sz w:val="24"/>
          <w:szCs w:val="24"/>
        </w:rPr>
        <w:t xml:space="preserve">. </w:t>
      </w:r>
    </w:p>
    <w:p w:rsidR="000262CE" w:rsidRDefault="000262CE" w:rsidP="00F53B6D">
      <w:pPr>
        <w:spacing w:after="240"/>
        <w:jc w:val="both"/>
        <w:rPr>
          <w:rFonts w:ascii="Times New Roman" w:hAnsi="Times New Roman"/>
          <w:sz w:val="24"/>
          <w:szCs w:val="24"/>
        </w:rPr>
      </w:pPr>
      <w:r>
        <w:rPr>
          <w:rFonts w:ascii="Times New Roman" w:hAnsi="Times New Roman"/>
          <w:sz w:val="24"/>
          <w:szCs w:val="24"/>
        </w:rPr>
        <w:t xml:space="preserve">OECD, (2014), </w:t>
      </w:r>
      <w:r w:rsidRPr="00680C07">
        <w:rPr>
          <w:rFonts w:ascii="Times New Roman" w:hAnsi="Times New Roman"/>
          <w:i/>
          <w:sz w:val="24"/>
          <w:szCs w:val="24"/>
        </w:rPr>
        <w:t>Education at a Glance</w:t>
      </w:r>
      <w:r w:rsidR="00680C07" w:rsidRPr="00680C07">
        <w:rPr>
          <w:rFonts w:ascii="Times New Roman" w:hAnsi="Times New Roman"/>
          <w:i/>
          <w:sz w:val="24"/>
          <w:szCs w:val="24"/>
        </w:rPr>
        <w:t xml:space="preserve"> 2014: OECD Indicators</w:t>
      </w:r>
      <w:r w:rsidR="00C256E5">
        <w:rPr>
          <w:rFonts w:ascii="Times New Roman" w:hAnsi="Times New Roman"/>
          <w:sz w:val="24"/>
          <w:szCs w:val="24"/>
        </w:rPr>
        <w:t>.</w:t>
      </w:r>
    </w:p>
    <w:p w:rsidR="00AB050F" w:rsidRDefault="00680C07" w:rsidP="00F53B6D">
      <w:pPr>
        <w:spacing w:after="240"/>
        <w:jc w:val="both"/>
        <w:rPr>
          <w:rFonts w:ascii="Times New Roman" w:hAnsi="Times New Roman"/>
          <w:sz w:val="24"/>
          <w:szCs w:val="24"/>
        </w:rPr>
      </w:pPr>
      <w:r>
        <w:rPr>
          <w:rFonts w:ascii="Times New Roman" w:hAnsi="Times New Roman"/>
          <w:sz w:val="24"/>
          <w:szCs w:val="24"/>
        </w:rPr>
        <w:t xml:space="preserve">Oreopolous, P, (2006), </w:t>
      </w:r>
      <w:r w:rsidRPr="00680C07">
        <w:rPr>
          <w:rFonts w:ascii="Times New Roman" w:hAnsi="Times New Roman"/>
          <w:sz w:val="24"/>
          <w:szCs w:val="24"/>
          <w:u w:val="single"/>
        </w:rPr>
        <w:t>Estimating Average and Local Average Treatment Effects of Education when Compulsory Schooling Laws Really Matter</w:t>
      </w:r>
      <w:r>
        <w:rPr>
          <w:rFonts w:ascii="Times New Roman" w:hAnsi="Times New Roman"/>
          <w:sz w:val="24"/>
          <w:szCs w:val="24"/>
        </w:rPr>
        <w:t xml:space="preserve">, </w:t>
      </w:r>
      <w:r w:rsidRPr="00680C07">
        <w:rPr>
          <w:rFonts w:ascii="Times New Roman" w:hAnsi="Times New Roman"/>
          <w:i/>
          <w:sz w:val="24"/>
          <w:szCs w:val="24"/>
        </w:rPr>
        <w:t>American Economic Review</w:t>
      </w:r>
      <w:r w:rsidRPr="00680C07">
        <w:rPr>
          <w:rFonts w:ascii="Times New Roman" w:hAnsi="Times New Roman"/>
          <w:sz w:val="24"/>
          <w:szCs w:val="24"/>
        </w:rPr>
        <w:t xml:space="preserve">, 96(1): </w:t>
      </w:r>
      <w:r>
        <w:rPr>
          <w:rFonts w:ascii="Times New Roman" w:hAnsi="Times New Roman"/>
          <w:sz w:val="24"/>
          <w:szCs w:val="24"/>
        </w:rPr>
        <w:t xml:space="preserve">pp. </w:t>
      </w:r>
      <w:r w:rsidRPr="00680C07">
        <w:rPr>
          <w:rFonts w:ascii="Times New Roman" w:hAnsi="Times New Roman"/>
          <w:sz w:val="24"/>
          <w:szCs w:val="24"/>
        </w:rPr>
        <w:t>152-175.</w:t>
      </w:r>
    </w:p>
    <w:p w:rsidR="00AB050F" w:rsidRDefault="00AB050F" w:rsidP="00F53B6D">
      <w:pPr>
        <w:spacing w:after="240"/>
        <w:jc w:val="both"/>
        <w:rPr>
          <w:rFonts w:ascii="Times New Roman" w:hAnsi="Times New Roman"/>
          <w:sz w:val="24"/>
          <w:szCs w:val="24"/>
        </w:rPr>
      </w:pPr>
      <w:r w:rsidRPr="00AB050F">
        <w:rPr>
          <w:rFonts w:ascii="Times New Roman" w:hAnsi="Times New Roman"/>
          <w:sz w:val="24"/>
          <w:szCs w:val="24"/>
        </w:rPr>
        <w:t>Pischke</w:t>
      </w:r>
      <w:r w:rsidR="00680C07">
        <w:rPr>
          <w:rFonts w:ascii="Times New Roman" w:hAnsi="Times New Roman"/>
          <w:sz w:val="24"/>
          <w:szCs w:val="24"/>
        </w:rPr>
        <w:t>, J,</w:t>
      </w:r>
      <w:r w:rsidRPr="00AB050F">
        <w:rPr>
          <w:rFonts w:ascii="Times New Roman" w:hAnsi="Times New Roman"/>
          <w:sz w:val="24"/>
          <w:szCs w:val="24"/>
        </w:rPr>
        <w:t xml:space="preserve"> and von Wachter, </w:t>
      </w:r>
      <w:r w:rsidR="00680C07">
        <w:rPr>
          <w:rFonts w:ascii="Times New Roman" w:hAnsi="Times New Roman"/>
          <w:sz w:val="24"/>
          <w:szCs w:val="24"/>
        </w:rPr>
        <w:t>T, (</w:t>
      </w:r>
      <w:r w:rsidRPr="00AB050F">
        <w:rPr>
          <w:rFonts w:ascii="Times New Roman" w:hAnsi="Times New Roman"/>
          <w:sz w:val="24"/>
          <w:szCs w:val="24"/>
        </w:rPr>
        <w:t>2008</w:t>
      </w:r>
      <w:r w:rsidR="00680C07">
        <w:rPr>
          <w:rFonts w:ascii="Times New Roman" w:hAnsi="Times New Roman"/>
          <w:sz w:val="24"/>
          <w:szCs w:val="24"/>
        </w:rPr>
        <w:t xml:space="preserve">), </w:t>
      </w:r>
      <w:r w:rsidR="00680C07" w:rsidRPr="00680C07">
        <w:rPr>
          <w:rFonts w:ascii="Times New Roman" w:hAnsi="Times New Roman"/>
          <w:sz w:val="24"/>
          <w:szCs w:val="24"/>
          <w:u w:val="single"/>
        </w:rPr>
        <w:t>Zero returns to compulsory schooling in Germany: evidence and interpretation</w:t>
      </w:r>
      <w:r w:rsidR="00680C07">
        <w:rPr>
          <w:rFonts w:ascii="Times New Roman" w:hAnsi="Times New Roman"/>
          <w:sz w:val="24"/>
          <w:szCs w:val="24"/>
        </w:rPr>
        <w:t>,</w:t>
      </w:r>
      <w:r w:rsidR="00680C07" w:rsidRPr="00680C07">
        <w:rPr>
          <w:rFonts w:ascii="Times New Roman" w:hAnsi="Times New Roman"/>
          <w:sz w:val="24"/>
          <w:szCs w:val="24"/>
        </w:rPr>
        <w:t xml:space="preserve"> </w:t>
      </w:r>
      <w:r w:rsidR="00680C07" w:rsidRPr="00680C07">
        <w:rPr>
          <w:rFonts w:ascii="Times New Roman" w:hAnsi="Times New Roman"/>
          <w:i/>
          <w:sz w:val="24"/>
          <w:szCs w:val="24"/>
        </w:rPr>
        <w:t>The Review of Economics and Statistics</w:t>
      </w:r>
      <w:r w:rsidR="00680C07">
        <w:rPr>
          <w:rFonts w:ascii="Times New Roman" w:hAnsi="Times New Roman"/>
          <w:sz w:val="24"/>
          <w:szCs w:val="24"/>
        </w:rPr>
        <w:t xml:space="preserve">, 90 (3), pp. </w:t>
      </w:r>
      <w:r w:rsidR="00680C07" w:rsidRPr="00680C07">
        <w:rPr>
          <w:rFonts w:ascii="Times New Roman" w:hAnsi="Times New Roman"/>
          <w:sz w:val="24"/>
          <w:szCs w:val="24"/>
        </w:rPr>
        <w:t>592-598.</w:t>
      </w:r>
    </w:p>
    <w:p w:rsidR="00B75415" w:rsidRDefault="00B75415" w:rsidP="00F53B6D">
      <w:pPr>
        <w:spacing w:after="240"/>
        <w:jc w:val="both"/>
        <w:rPr>
          <w:rFonts w:ascii="Times New Roman" w:hAnsi="Times New Roman"/>
          <w:sz w:val="24"/>
          <w:szCs w:val="24"/>
        </w:rPr>
      </w:pPr>
      <w:r w:rsidRPr="00DE177C">
        <w:rPr>
          <w:rFonts w:ascii="Times New Roman" w:hAnsi="Times New Roman"/>
          <w:sz w:val="24"/>
          <w:szCs w:val="24"/>
        </w:rPr>
        <w:t xml:space="preserve">Psacharopoulos </w:t>
      </w:r>
      <w:r>
        <w:rPr>
          <w:rFonts w:ascii="Times New Roman" w:hAnsi="Times New Roman"/>
          <w:sz w:val="24"/>
          <w:szCs w:val="24"/>
        </w:rPr>
        <w:t>and</w:t>
      </w:r>
      <w:r w:rsidRPr="00DE177C">
        <w:rPr>
          <w:rFonts w:ascii="Times New Roman" w:hAnsi="Times New Roman"/>
          <w:sz w:val="24"/>
          <w:szCs w:val="24"/>
        </w:rPr>
        <w:t xml:space="preserve"> Patrinos</w:t>
      </w:r>
      <w:r>
        <w:rPr>
          <w:rFonts w:ascii="Times New Roman" w:hAnsi="Times New Roman"/>
          <w:sz w:val="24"/>
          <w:szCs w:val="24"/>
        </w:rPr>
        <w:t xml:space="preserve"> (2004)</w:t>
      </w:r>
      <w:r w:rsidR="00680C07">
        <w:rPr>
          <w:rFonts w:ascii="Times New Roman" w:hAnsi="Times New Roman"/>
          <w:sz w:val="24"/>
          <w:szCs w:val="24"/>
        </w:rPr>
        <w:t xml:space="preserve">, </w:t>
      </w:r>
      <w:r w:rsidR="00680C07" w:rsidRPr="00680C07">
        <w:rPr>
          <w:rFonts w:ascii="Times New Roman" w:hAnsi="Times New Roman"/>
          <w:sz w:val="24"/>
          <w:szCs w:val="24"/>
          <w:u w:val="single"/>
        </w:rPr>
        <w:t>Returns to Investment in Education: A Further Update</w:t>
      </w:r>
      <w:r w:rsidR="00680C07" w:rsidRPr="00680C07">
        <w:rPr>
          <w:rFonts w:ascii="Times New Roman" w:hAnsi="Times New Roman"/>
          <w:sz w:val="24"/>
          <w:szCs w:val="24"/>
        </w:rPr>
        <w:t xml:space="preserve">. </w:t>
      </w:r>
      <w:r w:rsidR="00680C07" w:rsidRPr="00680C07">
        <w:rPr>
          <w:rFonts w:ascii="Times New Roman" w:hAnsi="Times New Roman"/>
          <w:i/>
          <w:sz w:val="24"/>
          <w:szCs w:val="24"/>
        </w:rPr>
        <w:t>Education Economics</w:t>
      </w:r>
      <w:r w:rsidR="00680C07" w:rsidRPr="00680C07">
        <w:rPr>
          <w:rFonts w:ascii="Times New Roman" w:hAnsi="Times New Roman"/>
          <w:sz w:val="24"/>
          <w:szCs w:val="24"/>
        </w:rPr>
        <w:t xml:space="preserve"> 12(2), </w:t>
      </w:r>
      <w:r w:rsidR="00680C07">
        <w:rPr>
          <w:rFonts w:ascii="Times New Roman" w:hAnsi="Times New Roman"/>
          <w:sz w:val="24"/>
          <w:szCs w:val="24"/>
        </w:rPr>
        <w:t xml:space="preserve">pp. </w:t>
      </w:r>
      <w:r w:rsidR="00680C07" w:rsidRPr="00680C07">
        <w:rPr>
          <w:rFonts w:ascii="Times New Roman" w:hAnsi="Times New Roman"/>
          <w:sz w:val="24"/>
          <w:szCs w:val="24"/>
        </w:rPr>
        <w:t>111-134.</w:t>
      </w:r>
    </w:p>
    <w:p w:rsidR="00153EA4" w:rsidRDefault="00153EA4" w:rsidP="00F53B6D">
      <w:pPr>
        <w:spacing w:after="240"/>
        <w:jc w:val="both"/>
        <w:rPr>
          <w:rFonts w:ascii="Times New Roman" w:hAnsi="Times New Roman"/>
          <w:sz w:val="24"/>
          <w:szCs w:val="24"/>
        </w:rPr>
      </w:pPr>
      <w:r w:rsidRPr="00153EA4">
        <w:rPr>
          <w:rFonts w:ascii="Times New Roman" w:hAnsi="Times New Roman"/>
          <w:sz w:val="24"/>
          <w:szCs w:val="24"/>
        </w:rPr>
        <w:t xml:space="preserve">Rubery, J, (2006), </w:t>
      </w:r>
      <w:r w:rsidRPr="00C75CA8">
        <w:rPr>
          <w:rFonts w:ascii="Times New Roman" w:hAnsi="Times New Roman"/>
          <w:sz w:val="24"/>
          <w:szCs w:val="24"/>
          <w:u w:val="single"/>
        </w:rPr>
        <w:t>Segmentation theory thirty years on</w:t>
      </w:r>
      <w:r w:rsidRPr="00153EA4">
        <w:rPr>
          <w:rFonts w:ascii="Times New Roman" w:hAnsi="Times New Roman"/>
          <w:sz w:val="24"/>
          <w:szCs w:val="24"/>
        </w:rPr>
        <w:t xml:space="preserve">, </w:t>
      </w:r>
      <w:r w:rsidR="00C75CA8">
        <w:rPr>
          <w:rFonts w:ascii="Times New Roman" w:hAnsi="Times New Roman"/>
          <w:sz w:val="24"/>
          <w:szCs w:val="24"/>
        </w:rPr>
        <w:t>paper presented at the 27th conference of the International Working P</w:t>
      </w:r>
      <w:r w:rsidRPr="00153EA4">
        <w:rPr>
          <w:rFonts w:ascii="Times New Roman" w:hAnsi="Times New Roman"/>
          <w:sz w:val="24"/>
          <w:szCs w:val="24"/>
        </w:rPr>
        <w:t>arty o</w:t>
      </w:r>
      <w:r w:rsidR="00C75CA8">
        <w:rPr>
          <w:rFonts w:ascii="Times New Roman" w:hAnsi="Times New Roman"/>
          <w:sz w:val="24"/>
          <w:szCs w:val="24"/>
        </w:rPr>
        <w:t>n Labour Market Segmentation</w:t>
      </w:r>
      <w:r w:rsidRPr="00153EA4">
        <w:rPr>
          <w:rFonts w:ascii="Times New Roman" w:hAnsi="Times New Roman"/>
          <w:sz w:val="24"/>
          <w:szCs w:val="24"/>
        </w:rPr>
        <w:t>, September 16</w:t>
      </w:r>
      <w:r w:rsidRPr="00C75CA8">
        <w:rPr>
          <w:rFonts w:ascii="Times New Roman" w:hAnsi="Times New Roman"/>
          <w:sz w:val="24"/>
          <w:szCs w:val="24"/>
          <w:vertAlign w:val="superscript"/>
        </w:rPr>
        <w:t>th</w:t>
      </w:r>
      <w:r w:rsidR="00C75CA8">
        <w:rPr>
          <w:rFonts w:ascii="Times New Roman" w:hAnsi="Times New Roman"/>
          <w:sz w:val="24"/>
          <w:szCs w:val="24"/>
        </w:rPr>
        <w:t>.</w:t>
      </w:r>
    </w:p>
    <w:p w:rsidR="000F625D" w:rsidRDefault="000F625D" w:rsidP="00F53B6D">
      <w:pPr>
        <w:spacing w:after="240"/>
        <w:jc w:val="both"/>
        <w:rPr>
          <w:rFonts w:ascii="Times New Roman" w:hAnsi="Times New Roman"/>
          <w:sz w:val="24"/>
          <w:szCs w:val="24"/>
        </w:rPr>
      </w:pPr>
      <w:r>
        <w:rPr>
          <w:rFonts w:ascii="Times New Roman" w:hAnsi="Times New Roman"/>
          <w:sz w:val="24"/>
          <w:szCs w:val="24"/>
        </w:rPr>
        <w:t xml:space="preserve">Schmitt, J, (2013), </w:t>
      </w:r>
      <w:r w:rsidRPr="00C256E5">
        <w:rPr>
          <w:rFonts w:ascii="Times New Roman" w:hAnsi="Times New Roman"/>
          <w:sz w:val="24"/>
          <w:szCs w:val="24"/>
          <w:u w:val="single"/>
        </w:rPr>
        <w:t>Why Does the Minimum Wage Have No Discernible Effect on Employment?</w:t>
      </w:r>
      <w:r>
        <w:rPr>
          <w:rFonts w:ascii="Times New Roman" w:hAnsi="Times New Roman"/>
          <w:sz w:val="24"/>
          <w:szCs w:val="24"/>
        </w:rPr>
        <w:t>,</w:t>
      </w:r>
      <w:r w:rsidR="00C256E5">
        <w:rPr>
          <w:rFonts w:ascii="Times New Roman" w:hAnsi="Times New Roman"/>
          <w:sz w:val="24"/>
          <w:szCs w:val="24"/>
        </w:rPr>
        <w:t xml:space="preserve"> Washington, DC, </w:t>
      </w:r>
      <w:r w:rsidR="00C256E5" w:rsidRPr="00C256E5">
        <w:rPr>
          <w:rFonts w:ascii="Times New Roman" w:hAnsi="Times New Roman"/>
          <w:sz w:val="24"/>
          <w:szCs w:val="24"/>
        </w:rPr>
        <w:t>Center for Economic and Policy Research</w:t>
      </w:r>
      <w:r w:rsidR="00C256E5">
        <w:rPr>
          <w:rFonts w:ascii="Times New Roman" w:hAnsi="Times New Roman"/>
          <w:sz w:val="24"/>
          <w:szCs w:val="24"/>
        </w:rPr>
        <w:t>.</w:t>
      </w:r>
      <w:r>
        <w:rPr>
          <w:rFonts w:ascii="Times New Roman" w:hAnsi="Times New Roman"/>
          <w:sz w:val="24"/>
          <w:szCs w:val="24"/>
        </w:rPr>
        <w:t xml:space="preserve">  </w:t>
      </w:r>
      <w:r w:rsidR="00C256E5">
        <w:rPr>
          <w:rFonts w:ascii="Times New Roman" w:hAnsi="Times New Roman"/>
          <w:sz w:val="24"/>
          <w:szCs w:val="24"/>
        </w:rPr>
        <w:t>Accessed online April 1</w:t>
      </w:r>
      <w:r w:rsidR="00C256E5" w:rsidRPr="00C256E5">
        <w:rPr>
          <w:rFonts w:ascii="Times New Roman" w:hAnsi="Times New Roman"/>
          <w:sz w:val="24"/>
          <w:szCs w:val="24"/>
          <w:vertAlign w:val="superscript"/>
        </w:rPr>
        <w:t>st</w:t>
      </w:r>
      <w:r w:rsidR="00C256E5">
        <w:rPr>
          <w:rFonts w:ascii="Times New Roman" w:hAnsi="Times New Roman"/>
          <w:sz w:val="24"/>
          <w:szCs w:val="24"/>
        </w:rPr>
        <w:t xml:space="preserve"> 2015: </w:t>
      </w:r>
      <w:hyperlink r:id="rId10" w:history="1">
        <w:r>
          <w:rPr>
            <w:rStyle w:val="Hyperlink"/>
            <w:rFonts w:ascii="Times New Roman" w:hAnsi="Times New Roman"/>
            <w:sz w:val="24"/>
            <w:szCs w:val="24"/>
          </w:rPr>
          <w:t>http://www.cepr.net/documents/publications/min-wage-2013-02.pdf</w:t>
        </w:r>
      </w:hyperlink>
    </w:p>
    <w:p w:rsidR="007A2EC3" w:rsidRPr="0067203D" w:rsidRDefault="007A2EC3" w:rsidP="00F53B6D">
      <w:pPr>
        <w:spacing w:after="240"/>
        <w:jc w:val="both"/>
        <w:rPr>
          <w:rFonts w:ascii="Times New Roman" w:hAnsi="Times New Roman"/>
          <w:sz w:val="24"/>
          <w:szCs w:val="24"/>
        </w:rPr>
      </w:pPr>
      <w:r w:rsidRPr="0067203D">
        <w:rPr>
          <w:rFonts w:ascii="Times New Roman" w:hAnsi="Times New Roman"/>
          <w:sz w:val="24"/>
          <w:szCs w:val="24"/>
        </w:rPr>
        <w:t xml:space="preserve">Schultz, T, (1961), </w:t>
      </w:r>
      <w:r w:rsidRPr="00C256E5">
        <w:rPr>
          <w:rFonts w:ascii="Times New Roman" w:hAnsi="Times New Roman"/>
          <w:sz w:val="24"/>
          <w:szCs w:val="24"/>
          <w:u w:val="single"/>
        </w:rPr>
        <w:t>Investment in Human Capital</w:t>
      </w:r>
      <w:r w:rsidRPr="0067203D">
        <w:rPr>
          <w:rFonts w:ascii="Times New Roman" w:hAnsi="Times New Roman"/>
          <w:sz w:val="24"/>
          <w:szCs w:val="24"/>
        </w:rPr>
        <w:t xml:space="preserve">, </w:t>
      </w:r>
      <w:r w:rsidRPr="00C256E5">
        <w:rPr>
          <w:rFonts w:ascii="Times New Roman" w:hAnsi="Times New Roman"/>
          <w:i/>
          <w:sz w:val="24"/>
          <w:szCs w:val="24"/>
        </w:rPr>
        <w:t>American Economic Review</w:t>
      </w:r>
      <w:r w:rsidRPr="0067203D">
        <w:rPr>
          <w:rFonts w:ascii="Times New Roman" w:hAnsi="Times New Roman"/>
          <w:sz w:val="24"/>
          <w:szCs w:val="24"/>
        </w:rPr>
        <w:t xml:space="preserve"> 51(1): pp 1-17.</w:t>
      </w:r>
    </w:p>
    <w:p w:rsidR="007A2EC3" w:rsidRPr="0067203D" w:rsidRDefault="007A2EC3" w:rsidP="00F53B6D">
      <w:pPr>
        <w:spacing w:after="240"/>
        <w:jc w:val="both"/>
        <w:rPr>
          <w:rFonts w:ascii="Times New Roman" w:hAnsi="Times New Roman"/>
          <w:sz w:val="24"/>
          <w:szCs w:val="24"/>
        </w:rPr>
      </w:pPr>
      <w:r w:rsidRPr="0067203D">
        <w:rPr>
          <w:rFonts w:ascii="Times New Roman" w:hAnsi="Times New Roman"/>
          <w:sz w:val="24"/>
          <w:szCs w:val="24"/>
        </w:rPr>
        <w:t>Spence, M, (1973</w:t>
      </w:r>
      <w:r w:rsidRPr="00C256E5">
        <w:rPr>
          <w:rFonts w:ascii="Times New Roman" w:hAnsi="Times New Roman"/>
          <w:sz w:val="24"/>
          <w:szCs w:val="24"/>
          <w:u w:val="single"/>
        </w:rPr>
        <w:t>), Job Market Signalling</w:t>
      </w:r>
      <w:r w:rsidRPr="0067203D">
        <w:rPr>
          <w:rFonts w:ascii="Times New Roman" w:hAnsi="Times New Roman"/>
          <w:sz w:val="24"/>
          <w:szCs w:val="24"/>
        </w:rPr>
        <w:t xml:space="preserve">, </w:t>
      </w:r>
      <w:r w:rsidRPr="00C256E5">
        <w:rPr>
          <w:rFonts w:ascii="Times New Roman" w:hAnsi="Times New Roman"/>
          <w:i/>
          <w:sz w:val="24"/>
          <w:szCs w:val="24"/>
        </w:rPr>
        <w:t>Quarterly Journal of Economics</w:t>
      </w:r>
      <w:r w:rsidRPr="0067203D">
        <w:rPr>
          <w:rFonts w:ascii="Times New Roman" w:hAnsi="Times New Roman"/>
          <w:sz w:val="24"/>
          <w:szCs w:val="24"/>
        </w:rPr>
        <w:t xml:space="preserve">, 87 (3): 355–374. </w:t>
      </w:r>
    </w:p>
    <w:p w:rsidR="007A2EC3" w:rsidRPr="00005C78" w:rsidRDefault="007A2EC3" w:rsidP="00F53B6D">
      <w:pPr>
        <w:jc w:val="both"/>
        <w:rPr>
          <w:rFonts w:ascii="Times New Roman" w:hAnsi="Times New Roman"/>
          <w:sz w:val="24"/>
          <w:szCs w:val="24"/>
        </w:rPr>
      </w:pPr>
      <w:r w:rsidRPr="00005C78">
        <w:rPr>
          <w:rFonts w:ascii="Times New Roman" w:hAnsi="Times New Roman"/>
          <w:sz w:val="24"/>
          <w:szCs w:val="24"/>
        </w:rPr>
        <w:t xml:space="preserve">Thurow, L, (1976), </w:t>
      </w:r>
      <w:r w:rsidRPr="007F46AC">
        <w:rPr>
          <w:rFonts w:ascii="Times New Roman" w:hAnsi="Times New Roman"/>
          <w:i/>
          <w:sz w:val="24"/>
          <w:szCs w:val="24"/>
        </w:rPr>
        <w:t>Generating Inequality</w:t>
      </w:r>
      <w:r w:rsidRPr="00005C78">
        <w:rPr>
          <w:rFonts w:ascii="Times New Roman" w:hAnsi="Times New Roman"/>
          <w:sz w:val="24"/>
          <w:szCs w:val="24"/>
        </w:rPr>
        <w:t>, London: Macmillan.</w:t>
      </w:r>
    </w:p>
    <w:p w:rsidR="007A2EC3" w:rsidRPr="00005C78" w:rsidRDefault="007A2EC3" w:rsidP="00F53B6D">
      <w:pPr>
        <w:jc w:val="both"/>
        <w:rPr>
          <w:rFonts w:ascii="Times New Roman" w:hAnsi="Times New Roman"/>
          <w:sz w:val="24"/>
          <w:szCs w:val="24"/>
        </w:rPr>
      </w:pPr>
      <w:r w:rsidRPr="00005C78">
        <w:rPr>
          <w:rFonts w:ascii="Times New Roman" w:hAnsi="Times New Roman"/>
          <w:sz w:val="24"/>
          <w:szCs w:val="24"/>
        </w:rPr>
        <w:t xml:space="preserve">Walker, I and Zhu, Y, (2008), </w:t>
      </w:r>
      <w:r w:rsidRPr="007F46AC">
        <w:rPr>
          <w:rFonts w:ascii="Times New Roman" w:hAnsi="Times New Roman"/>
          <w:sz w:val="24"/>
          <w:szCs w:val="24"/>
          <w:u w:val="single"/>
        </w:rPr>
        <w:t>The College Wage Premium and the Expansion of Higher Education in the UK</w:t>
      </w:r>
      <w:r w:rsidRPr="00005C78">
        <w:rPr>
          <w:rFonts w:ascii="Times New Roman" w:hAnsi="Times New Roman"/>
          <w:sz w:val="24"/>
          <w:szCs w:val="24"/>
        </w:rPr>
        <w:t xml:space="preserve">, </w:t>
      </w:r>
      <w:r w:rsidRPr="007F46AC">
        <w:rPr>
          <w:rFonts w:ascii="Times New Roman" w:hAnsi="Times New Roman"/>
          <w:i/>
          <w:sz w:val="24"/>
          <w:szCs w:val="24"/>
        </w:rPr>
        <w:t>Scandinavian Journal of Economics</w:t>
      </w:r>
      <w:r w:rsidRPr="00005C78">
        <w:rPr>
          <w:rFonts w:ascii="Times New Roman" w:hAnsi="Times New Roman"/>
          <w:sz w:val="24"/>
          <w:szCs w:val="24"/>
        </w:rPr>
        <w:t>, 110 (4), pp. 695-709</w:t>
      </w:r>
    </w:p>
    <w:p w:rsidR="007F46AC" w:rsidRPr="00005C78" w:rsidRDefault="007A2EC3" w:rsidP="007F46AC">
      <w:pPr>
        <w:jc w:val="both"/>
        <w:rPr>
          <w:rFonts w:ascii="Times New Roman" w:hAnsi="Times New Roman"/>
          <w:sz w:val="24"/>
          <w:szCs w:val="24"/>
        </w:rPr>
      </w:pPr>
      <w:r w:rsidRPr="007A2EC3">
        <w:rPr>
          <w:rFonts w:ascii="Times New Roman" w:hAnsi="Times New Roman"/>
          <w:sz w:val="24"/>
          <w:szCs w:val="24"/>
        </w:rPr>
        <w:t>Walker</w:t>
      </w:r>
      <w:r w:rsidR="007F46AC">
        <w:rPr>
          <w:rFonts w:ascii="Times New Roman" w:hAnsi="Times New Roman"/>
          <w:sz w:val="24"/>
          <w:szCs w:val="24"/>
        </w:rPr>
        <w:t>, I,</w:t>
      </w:r>
      <w:r w:rsidRPr="007A2EC3">
        <w:rPr>
          <w:rFonts w:ascii="Times New Roman" w:hAnsi="Times New Roman"/>
          <w:sz w:val="24"/>
          <w:szCs w:val="24"/>
        </w:rPr>
        <w:t xml:space="preserve"> and Zhu</w:t>
      </w:r>
      <w:r w:rsidR="007F46AC">
        <w:rPr>
          <w:rFonts w:ascii="Times New Roman" w:hAnsi="Times New Roman"/>
          <w:sz w:val="24"/>
          <w:szCs w:val="24"/>
        </w:rPr>
        <w:t>, Y,</w:t>
      </w:r>
      <w:r w:rsidRPr="007A2EC3">
        <w:rPr>
          <w:rFonts w:ascii="Times New Roman" w:hAnsi="Times New Roman"/>
          <w:sz w:val="24"/>
          <w:szCs w:val="24"/>
        </w:rPr>
        <w:t xml:space="preserve"> (2013</w:t>
      </w:r>
      <w:r w:rsidRPr="007F46AC">
        <w:rPr>
          <w:rFonts w:ascii="Times New Roman" w:hAnsi="Times New Roman"/>
          <w:sz w:val="24"/>
          <w:szCs w:val="24"/>
          <w:u w:val="single"/>
        </w:rPr>
        <w:t>)</w:t>
      </w:r>
      <w:r w:rsidR="007F46AC" w:rsidRPr="007F46AC">
        <w:rPr>
          <w:rFonts w:ascii="Times New Roman" w:hAnsi="Times New Roman"/>
          <w:sz w:val="24"/>
          <w:szCs w:val="24"/>
          <w:u w:val="single"/>
        </w:rPr>
        <w:t>, The impact of university degrees on the lifecycle of earnings: some further analysis</w:t>
      </w:r>
      <w:r w:rsidR="007F46AC">
        <w:rPr>
          <w:rFonts w:ascii="Times New Roman" w:hAnsi="Times New Roman"/>
          <w:sz w:val="24"/>
          <w:szCs w:val="24"/>
        </w:rPr>
        <w:t>, BIS research paper no. 112</w:t>
      </w:r>
      <w:r w:rsidR="007F46AC" w:rsidRPr="00005C78">
        <w:rPr>
          <w:rFonts w:ascii="Times New Roman" w:hAnsi="Times New Roman"/>
          <w:sz w:val="24"/>
          <w:szCs w:val="24"/>
        </w:rPr>
        <w:t>, London: Department of Business, Innovation and Skills</w:t>
      </w:r>
    </w:p>
    <w:p w:rsidR="00C93995" w:rsidRDefault="00C93995" w:rsidP="007F46AC">
      <w:pPr>
        <w:spacing w:after="240"/>
        <w:jc w:val="both"/>
        <w:rPr>
          <w:rFonts w:ascii="Times New Roman" w:hAnsi="Times New Roman"/>
          <w:sz w:val="24"/>
          <w:szCs w:val="24"/>
        </w:rPr>
      </w:pPr>
      <w:r>
        <w:rPr>
          <w:rFonts w:ascii="Times New Roman" w:hAnsi="Times New Roman"/>
          <w:sz w:val="24"/>
          <w:szCs w:val="24"/>
        </w:rPr>
        <w:lastRenderedPageBreak/>
        <w:br w:type="page"/>
      </w:r>
    </w:p>
    <w:p w:rsidR="00C93995" w:rsidRDefault="00C93995" w:rsidP="007E6F0C">
      <w:pPr>
        <w:jc w:val="both"/>
        <w:rPr>
          <w:rFonts w:ascii="Times New Roman" w:hAnsi="Times New Roman"/>
          <w:b/>
          <w:sz w:val="24"/>
          <w:szCs w:val="24"/>
        </w:rPr>
      </w:pPr>
      <w:r w:rsidRPr="00C93995">
        <w:rPr>
          <w:rFonts w:ascii="Times New Roman" w:hAnsi="Times New Roman"/>
          <w:b/>
          <w:sz w:val="24"/>
          <w:szCs w:val="24"/>
        </w:rPr>
        <w:lastRenderedPageBreak/>
        <w:t>Figures</w:t>
      </w:r>
    </w:p>
    <w:p w:rsidR="00C93995" w:rsidRPr="00C93995" w:rsidRDefault="00C93995" w:rsidP="007E6F0C">
      <w:pPr>
        <w:jc w:val="both"/>
        <w:rPr>
          <w:rFonts w:ascii="Times New Roman" w:hAnsi="Times New Roman"/>
          <w:i/>
          <w:sz w:val="24"/>
          <w:szCs w:val="24"/>
        </w:rPr>
      </w:pPr>
      <w:r w:rsidRPr="00C93995">
        <w:rPr>
          <w:rFonts w:ascii="Times New Roman" w:hAnsi="Times New Roman"/>
          <w:i/>
          <w:sz w:val="24"/>
          <w:szCs w:val="24"/>
        </w:rPr>
        <w:t>Figure 2.1:</w:t>
      </w:r>
      <w:r w:rsidRPr="00C93995">
        <w:rPr>
          <w:rFonts w:ascii="Times New Roman" w:hAnsi="Times New Roman"/>
          <w:i/>
          <w:sz w:val="24"/>
          <w:szCs w:val="24"/>
        </w:rPr>
        <w:tab/>
        <w:t>Earnings differences by level of education and country</w:t>
      </w:r>
    </w:p>
    <w:p w:rsidR="00C93995" w:rsidRDefault="00625FA1" w:rsidP="007E6F0C">
      <w:pPr>
        <w:jc w:val="both"/>
        <w:rPr>
          <w:rFonts w:ascii="Times New Roman" w:hAnsi="Times New Roman"/>
          <w:b/>
          <w:sz w:val="24"/>
          <w:szCs w:val="24"/>
        </w:rPr>
      </w:pPr>
      <w:r w:rsidRPr="00831532">
        <w:rPr>
          <w:noProof/>
          <w:lang w:eastAsia="en-GB"/>
        </w:rPr>
        <w:drawing>
          <wp:inline distT="0" distB="0" distL="0" distR="0">
            <wp:extent cx="5731510" cy="5962650"/>
            <wp:effectExtent l="0" t="0" r="254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157" w:rsidRPr="00021157" w:rsidRDefault="00021157">
      <w:pPr>
        <w:rPr>
          <w:rFonts w:ascii="Times New Roman" w:hAnsi="Times New Roman"/>
          <w:sz w:val="20"/>
          <w:szCs w:val="20"/>
        </w:rPr>
      </w:pPr>
      <w:r w:rsidRPr="00021157">
        <w:rPr>
          <w:rFonts w:ascii="Times New Roman" w:hAnsi="Times New Roman"/>
          <w:sz w:val="20"/>
          <w:szCs w:val="20"/>
        </w:rPr>
        <w:t>Source: OECD</w:t>
      </w:r>
      <w:r w:rsidRPr="00021157">
        <w:rPr>
          <w:rFonts w:ascii="Times New Roman" w:hAnsi="Times New Roman"/>
          <w:sz w:val="20"/>
          <w:szCs w:val="20"/>
        </w:rPr>
        <w:br/>
        <w:t xml:space="preserve">Note: Mean earnings relative to </w:t>
      </w:r>
      <w:r>
        <w:rPr>
          <w:rFonts w:ascii="Times New Roman" w:hAnsi="Times New Roman"/>
          <w:sz w:val="20"/>
          <w:szCs w:val="20"/>
        </w:rPr>
        <w:t>ISCED 3 and 4.</w:t>
      </w:r>
      <w:r w:rsidRPr="00021157">
        <w:rPr>
          <w:rFonts w:ascii="Times New Roman" w:hAnsi="Times New Roman"/>
          <w:sz w:val="20"/>
          <w:szCs w:val="20"/>
        </w:rPr>
        <w:br w:type="page"/>
      </w:r>
    </w:p>
    <w:p w:rsidR="009C38A3" w:rsidRPr="00C93995" w:rsidRDefault="009C38A3" w:rsidP="009C38A3">
      <w:pPr>
        <w:jc w:val="both"/>
        <w:rPr>
          <w:rFonts w:ascii="Times New Roman" w:hAnsi="Times New Roman"/>
          <w:i/>
          <w:sz w:val="24"/>
          <w:szCs w:val="24"/>
        </w:rPr>
      </w:pPr>
      <w:r>
        <w:rPr>
          <w:rFonts w:ascii="Times New Roman" w:hAnsi="Times New Roman"/>
          <w:i/>
          <w:sz w:val="24"/>
          <w:szCs w:val="24"/>
        </w:rPr>
        <w:lastRenderedPageBreak/>
        <w:t>Figure 2.2</w:t>
      </w:r>
      <w:r w:rsidRPr="00C93995">
        <w:rPr>
          <w:rFonts w:ascii="Times New Roman" w:hAnsi="Times New Roman"/>
          <w:i/>
          <w:sz w:val="24"/>
          <w:szCs w:val="24"/>
        </w:rPr>
        <w:t>:</w:t>
      </w:r>
      <w:r w:rsidRPr="00C93995">
        <w:rPr>
          <w:rFonts w:ascii="Times New Roman" w:hAnsi="Times New Roman"/>
          <w:i/>
          <w:sz w:val="24"/>
          <w:szCs w:val="24"/>
        </w:rPr>
        <w:tab/>
      </w:r>
      <w:r>
        <w:rPr>
          <w:rFonts w:ascii="Times New Roman" w:hAnsi="Times New Roman"/>
          <w:i/>
          <w:sz w:val="24"/>
          <w:szCs w:val="24"/>
        </w:rPr>
        <w:t>Employment rate</w:t>
      </w:r>
      <w:r w:rsidRPr="00C93995">
        <w:rPr>
          <w:rFonts w:ascii="Times New Roman" w:hAnsi="Times New Roman"/>
          <w:i/>
          <w:sz w:val="24"/>
          <w:szCs w:val="24"/>
        </w:rPr>
        <w:t xml:space="preserve"> differences by level of education and country</w:t>
      </w:r>
    </w:p>
    <w:p w:rsidR="00021157" w:rsidRPr="009C38A3" w:rsidRDefault="00625FA1">
      <w:pPr>
        <w:rPr>
          <w:rFonts w:ascii="Times New Roman" w:hAnsi="Times New Roman"/>
          <w:sz w:val="24"/>
          <w:szCs w:val="24"/>
        </w:rPr>
      </w:pPr>
      <w:r w:rsidRPr="00831532">
        <w:rPr>
          <w:noProof/>
          <w:lang w:eastAsia="en-GB"/>
        </w:rPr>
        <w:drawing>
          <wp:inline distT="0" distB="0" distL="0" distR="0">
            <wp:extent cx="5731510" cy="6505575"/>
            <wp:effectExtent l="0" t="0" r="254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38A3" w:rsidRDefault="007E4E6A">
      <w:pPr>
        <w:rPr>
          <w:rFonts w:ascii="Times New Roman" w:hAnsi="Times New Roman"/>
          <w:i/>
          <w:sz w:val="24"/>
          <w:szCs w:val="24"/>
        </w:rPr>
      </w:pPr>
      <w:r w:rsidRPr="00021157">
        <w:rPr>
          <w:rFonts w:ascii="Times New Roman" w:hAnsi="Times New Roman"/>
          <w:sz w:val="20"/>
          <w:szCs w:val="20"/>
        </w:rPr>
        <w:t>Source: OECD</w:t>
      </w:r>
      <w:r w:rsidRPr="00021157">
        <w:rPr>
          <w:rFonts w:ascii="Times New Roman" w:hAnsi="Times New Roman"/>
          <w:sz w:val="20"/>
          <w:szCs w:val="20"/>
        </w:rPr>
        <w:br/>
        <w:t>Note</w:t>
      </w:r>
      <w:r w:rsidR="006C2756">
        <w:rPr>
          <w:rFonts w:ascii="Times New Roman" w:hAnsi="Times New Roman"/>
          <w:sz w:val="20"/>
          <w:szCs w:val="20"/>
        </w:rPr>
        <w:t>s</w:t>
      </w:r>
      <w:r w:rsidRPr="00021157">
        <w:rPr>
          <w:rFonts w:ascii="Times New Roman" w:hAnsi="Times New Roman"/>
          <w:sz w:val="20"/>
          <w:szCs w:val="20"/>
        </w:rPr>
        <w:t xml:space="preserve">: </w:t>
      </w:r>
      <w:r w:rsidR="006C2756">
        <w:rPr>
          <w:rFonts w:ascii="Times New Roman" w:hAnsi="Times New Roman"/>
          <w:sz w:val="20"/>
          <w:szCs w:val="20"/>
        </w:rPr>
        <w:t>Employment rates</w:t>
      </w:r>
      <w:r w:rsidRPr="00021157">
        <w:rPr>
          <w:rFonts w:ascii="Times New Roman" w:hAnsi="Times New Roman"/>
          <w:sz w:val="20"/>
          <w:szCs w:val="20"/>
        </w:rPr>
        <w:t xml:space="preserve"> relative to </w:t>
      </w:r>
      <w:r w:rsidR="006C2756">
        <w:rPr>
          <w:rFonts w:ascii="Times New Roman" w:hAnsi="Times New Roman"/>
          <w:sz w:val="20"/>
          <w:szCs w:val="20"/>
        </w:rPr>
        <w:t xml:space="preserve">ISCED 3A (upper secondary education). Differences are expressed in relative rather than absolute terms – e.g. If the two employment rates being compared were 80% and 90%, the difference would be 12.5%, not 10 percentage points. Missing data: Tertiary type B - Czech Republic, Poland, </w:t>
      </w:r>
      <w:r w:rsidR="00C8305E">
        <w:rPr>
          <w:rFonts w:ascii="Times New Roman" w:hAnsi="Times New Roman"/>
          <w:sz w:val="20"/>
          <w:szCs w:val="20"/>
        </w:rPr>
        <w:t>Portugal, Turkey</w:t>
      </w:r>
      <w:r w:rsidR="006C2756">
        <w:rPr>
          <w:rFonts w:ascii="Times New Roman" w:hAnsi="Times New Roman"/>
          <w:sz w:val="20"/>
          <w:szCs w:val="20"/>
        </w:rPr>
        <w:t>; Lower secondary – Japan.</w:t>
      </w:r>
      <w:r w:rsidR="009C38A3">
        <w:rPr>
          <w:rFonts w:ascii="Times New Roman" w:hAnsi="Times New Roman"/>
          <w:i/>
          <w:sz w:val="24"/>
          <w:szCs w:val="24"/>
        </w:rPr>
        <w:br w:type="page"/>
      </w:r>
    </w:p>
    <w:p w:rsidR="00021157" w:rsidRDefault="00021157" w:rsidP="007E6F0C">
      <w:pPr>
        <w:jc w:val="both"/>
        <w:rPr>
          <w:rFonts w:ascii="Times New Roman" w:hAnsi="Times New Roman"/>
          <w:i/>
          <w:sz w:val="24"/>
          <w:szCs w:val="24"/>
        </w:rPr>
      </w:pPr>
      <w:r w:rsidRPr="00021157">
        <w:rPr>
          <w:rFonts w:ascii="Times New Roman" w:hAnsi="Times New Roman"/>
          <w:i/>
          <w:sz w:val="24"/>
          <w:szCs w:val="24"/>
        </w:rPr>
        <w:lastRenderedPageBreak/>
        <w:t>Figure</w:t>
      </w:r>
      <w:r w:rsidR="009C38A3">
        <w:rPr>
          <w:rFonts w:ascii="Times New Roman" w:hAnsi="Times New Roman"/>
          <w:i/>
          <w:sz w:val="24"/>
          <w:szCs w:val="24"/>
        </w:rPr>
        <w:t xml:space="preserve"> 2.3</w:t>
      </w:r>
      <w:r>
        <w:rPr>
          <w:rFonts w:ascii="Times New Roman" w:hAnsi="Times New Roman"/>
          <w:i/>
          <w:sz w:val="24"/>
          <w:szCs w:val="24"/>
        </w:rPr>
        <w:t>: Relative wages and tertiary education attainment</w:t>
      </w:r>
    </w:p>
    <w:p w:rsidR="00021157" w:rsidRDefault="00625FA1" w:rsidP="007E6F0C">
      <w:pPr>
        <w:jc w:val="both"/>
        <w:rPr>
          <w:rFonts w:ascii="Times New Roman" w:hAnsi="Times New Roman"/>
          <w:sz w:val="24"/>
          <w:szCs w:val="24"/>
        </w:rPr>
      </w:pPr>
      <w:r w:rsidRPr="00831532">
        <w:rPr>
          <w:noProof/>
          <w:lang w:eastAsia="en-GB"/>
        </w:rPr>
        <w:drawing>
          <wp:inline distT="0" distB="0" distL="0" distR="0">
            <wp:extent cx="5837555" cy="444627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157" w:rsidRDefault="00021157" w:rsidP="00021157">
      <w:pPr>
        <w:rPr>
          <w:rFonts w:ascii="Times New Roman" w:hAnsi="Times New Roman"/>
          <w:sz w:val="20"/>
          <w:szCs w:val="20"/>
        </w:rPr>
      </w:pPr>
      <w:r w:rsidRPr="00021157">
        <w:rPr>
          <w:rFonts w:ascii="Times New Roman" w:hAnsi="Times New Roman"/>
          <w:sz w:val="20"/>
          <w:szCs w:val="20"/>
        </w:rPr>
        <w:t>Source: OECD</w:t>
      </w:r>
      <w:r w:rsidR="00A72D7E">
        <w:rPr>
          <w:rFonts w:ascii="Times New Roman" w:hAnsi="Times New Roman"/>
          <w:sz w:val="20"/>
          <w:szCs w:val="20"/>
        </w:rPr>
        <w:t xml:space="preserve"> (2014)</w:t>
      </w:r>
      <w:r w:rsidRPr="00021157">
        <w:rPr>
          <w:rFonts w:ascii="Times New Roman" w:hAnsi="Times New Roman"/>
          <w:sz w:val="20"/>
          <w:szCs w:val="20"/>
        </w:rPr>
        <w:br/>
        <w:t>Notes: OECD averages marked on diagram</w:t>
      </w:r>
    </w:p>
    <w:p w:rsidR="00A72D7E" w:rsidRDefault="00A72D7E">
      <w:pPr>
        <w:rPr>
          <w:rFonts w:ascii="Times New Roman" w:hAnsi="Times New Roman"/>
          <w:sz w:val="20"/>
          <w:szCs w:val="20"/>
        </w:rPr>
      </w:pPr>
      <w:r>
        <w:rPr>
          <w:rFonts w:ascii="Times New Roman" w:hAnsi="Times New Roman"/>
          <w:sz w:val="20"/>
          <w:szCs w:val="20"/>
        </w:rPr>
        <w:br w:type="page"/>
      </w:r>
    </w:p>
    <w:p w:rsidR="00A72D7E" w:rsidRPr="007008D7" w:rsidRDefault="00A72D7E" w:rsidP="00A72D7E">
      <w:pPr>
        <w:spacing w:line="360" w:lineRule="auto"/>
        <w:jc w:val="both"/>
        <w:rPr>
          <w:rFonts w:ascii="Times New Roman" w:hAnsi="Times New Roman"/>
          <w:i/>
          <w:sz w:val="24"/>
          <w:szCs w:val="24"/>
        </w:rPr>
      </w:pPr>
      <w:r w:rsidRPr="007008D7">
        <w:rPr>
          <w:rFonts w:ascii="Times New Roman" w:hAnsi="Times New Roman"/>
          <w:i/>
          <w:sz w:val="24"/>
          <w:szCs w:val="24"/>
        </w:rPr>
        <w:lastRenderedPageBreak/>
        <w:t>Figure 4.1:</w:t>
      </w:r>
      <w:r w:rsidRPr="007008D7">
        <w:rPr>
          <w:rFonts w:ascii="Times New Roman" w:hAnsi="Times New Roman"/>
          <w:i/>
          <w:sz w:val="24"/>
          <w:szCs w:val="24"/>
        </w:rPr>
        <w:tab/>
        <w:t>Returns to schooling and skills</w:t>
      </w:r>
    </w:p>
    <w:p w:rsidR="00A72D7E" w:rsidRPr="00057B56" w:rsidRDefault="00625FA1" w:rsidP="00A72D7E">
      <w:pPr>
        <w:spacing w:line="360" w:lineRule="auto"/>
        <w:jc w:val="both"/>
        <w:rPr>
          <w:rFonts w:ascii="Times New Roman" w:hAnsi="Times New Roman"/>
          <w:sz w:val="24"/>
          <w:szCs w:val="24"/>
        </w:rPr>
      </w:pPr>
      <w:r w:rsidRPr="00831532">
        <w:rPr>
          <w:noProof/>
          <w:lang w:eastAsia="en-GB"/>
        </w:rPr>
        <w:drawing>
          <wp:inline distT="0" distB="0" distL="0" distR="0">
            <wp:extent cx="5734050" cy="3684905"/>
            <wp:effectExtent l="0" t="0" r="0" b="10795"/>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2D7E" w:rsidRDefault="00A72D7E" w:rsidP="00021157">
      <w:pPr>
        <w:rPr>
          <w:rFonts w:ascii="Times New Roman" w:hAnsi="Times New Roman"/>
          <w:sz w:val="20"/>
          <w:szCs w:val="20"/>
        </w:rPr>
      </w:pPr>
      <w:r>
        <w:rPr>
          <w:rFonts w:ascii="Times New Roman" w:hAnsi="Times New Roman"/>
          <w:sz w:val="20"/>
          <w:szCs w:val="20"/>
        </w:rPr>
        <w:t>Source: Hanushek et al (2013)</w:t>
      </w:r>
    </w:p>
    <w:p w:rsidR="004958C3" w:rsidRDefault="004958C3">
      <w:pPr>
        <w:rPr>
          <w:rFonts w:ascii="Times New Roman" w:hAnsi="Times New Roman"/>
          <w:sz w:val="20"/>
          <w:szCs w:val="20"/>
        </w:rPr>
      </w:pPr>
      <w:r>
        <w:rPr>
          <w:rFonts w:ascii="Times New Roman" w:hAnsi="Times New Roman"/>
          <w:sz w:val="20"/>
          <w:szCs w:val="20"/>
        </w:rPr>
        <w:br w:type="page"/>
      </w:r>
    </w:p>
    <w:p w:rsidR="004958C3" w:rsidRDefault="004958C3" w:rsidP="00021157">
      <w:pPr>
        <w:rPr>
          <w:rFonts w:ascii="Times New Roman" w:hAnsi="Times New Roman"/>
          <w:i/>
          <w:sz w:val="24"/>
          <w:szCs w:val="24"/>
        </w:rPr>
      </w:pPr>
      <w:r w:rsidRPr="004958C3">
        <w:rPr>
          <w:rFonts w:ascii="Times New Roman" w:hAnsi="Times New Roman"/>
          <w:i/>
          <w:sz w:val="24"/>
          <w:szCs w:val="24"/>
        </w:rPr>
        <w:lastRenderedPageBreak/>
        <w:t>Figure 5.1: Ability bias and the return to education</w:t>
      </w:r>
    </w:p>
    <w:p w:rsidR="00DC47CA" w:rsidRDefault="00625FA1" w:rsidP="00021157">
      <w:pPr>
        <w:rPr>
          <w:rFonts w:ascii="Times New Roman" w:hAnsi="Times New Roman"/>
          <w:sz w:val="24"/>
          <w:szCs w:val="24"/>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276225</wp:posOffset>
                </wp:positionH>
                <wp:positionV relativeFrom="paragraph">
                  <wp:posOffset>107950</wp:posOffset>
                </wp:positionV>
                <wp:extent cx="5233670" cy="2731770"/>
                <wp:effectExtent l="0" t="0" r="508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33670" cy="2731770"/>
                          <a:chOff x="0" y="0"/>
                          <a:chExt cx="5233448" cy="2732036"/>
                        </a:xfrm>
                      </wpg:grpSpPr>
                      <wps:wsp>
                        <wps:cNvPr id="1" name="Straight Connector 5"/>
                        <wps:cNvCnPr/>
                        <wps:spPr>
                          <a:xfrm>
                            <a:off x="786809" y="127591"/>
                            <a:ext cx="0" cy="2266950"/>
                          </a:xfrm>
                          <a:prstGeom prst="line">
                            <a:avLst/>
                          </a:prstGeom>
                          <a:noFill/>
                          <a:ln w="9525" cap="flat" cmpd="sng" algn="ctr">
                            <a:solidFill>
                              <a:sysClr val="windowText" lastClr="000000">
                                <a:shade val="95000"/>
                                <a:satMod val="105000"/>
                              </a:sysClr>
                            </a:solidFill>
                            <a:prstDash val="solid"/>
                          </a:ln>
                          <a:effectLst/>
                        </wps:spPr>
                        <wps:bodyPr/>
                      </wps:wsp>
                      <wps:wsp>
                        <wps:cNvPr id="2" name="Straight Connector 6"/>
                        <wps:cNvCnPr/>
                        <wps:spPr>
                          <a:xfrm flipH="1">
                            <a:off x="786809" y="2392325"/>
                            <a:ext cx="3495675" cy="0"/>
                          </a:xfrm>
                          <a:prstGeom prst="line">
                            <a:avLst/>
                          </a:prstGeom>
                          <a:noFill/>
                          <a:ln w="9525" cap="flat" cmpd="sng" algn="ctr">
                            <a:solidFill>
                              <a:sysClr val="windowText" lastClr="000000">
                                <a:shade val="95000"/>
                                <a:satMod val="105000"/>
                              </a:sysClr>
                            </a:solidFill>
                            <a:prstDash val="solid"/>
                          </a:ln>
                          <a:effectLst/>
                        </wps:spPr>
                        <wps:bodyPr/>
                      </wps:wsp>
                      <wpg:grpSp>
                        <wpg:cNvPr id="43" name="Group 43"/>
                        <wpg:cNvGrpSpPr/>
                        <wpg:grpSpPr>
                          <a:xfrm>
                            <a:off x="0" y="0"/>
                            <a:ext cx="5233448" cy="2732036"/>
                            <a:chOff x="0" y="0"/>
                            <a:chExt cx="5233448" cy="2732036"/>
                          </a:xfrm>
                        </wpg:grpSpPr>
                        <wps:wsp>
                          <wps:cNvPr id="9" name="Diamond 9"/>
                          <wps:cNvSpPr/>
                          <wps:spPr>
                            <a:xfrm>
                              <a:off x="1424762" y="765544"/>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amond 11"/>
                          <wps:cNvSpPr/>
                          <wps:spPr>
                            <a:xfrm>
                              <a:off x="3040911" y="297712"/>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amond 12"/>
                          <wps:cNvSpPr/>
                          <wps:spPr>
                            <a:xfrm>
                              <a:off x="1690576" y="797442"/>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amond 13"/>
                          <wps:cNvSpPr/>
                          <wps:spPr>
                            <a:xfrm>
                              <a:off x="1286539" y="999460"/>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iamond 14"/>
                          <wps:cNvSpPr/>
                          <wps:spPr>
                            <a:xfrm>
                              <a:off x="2721934" y="414670"/>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mond 15"/>
                          <wps:cNvSpPr/>
                          <wps:spPr>
                            <a:xfrm>
                              <a:off x="2711302" y="648586"/>
                              <a:ext cx="127380" cy="127380"/>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amond 16"/>
                          <wps:cNvSpPr/>
                          <wps:spPr>
                            <a:xfrm>
                              <a:off x="1945758" y="510363"/>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iamond 17"/>
                          <wps:cNvSpPr/>
                          <wps:spPr>
                            <a:xfrm>
                              <a:off x="2838893" y="42530"/>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iamond 18"/>
                          <wps:cNvSpPr/>
                          <wps:spPr>
                            <a:xfrm>
                              <a:off x="978195" y="627321"/>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amond 19"/>
                          <wps:cNvSpPr/>
                          <wps:spPr>
                            <a:xfrm>
                              <a:off x="2477386" y="372139"/>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amond 20"/>
                          <wps:cNvSpPr/>
                          <wps:spPr>
                            <a:xfrm>
                              <a:off x="1063255" y="1233377"/>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iamond 21"/>
                          <wps:cNvSpPr/>
                          <wps:spPr>
                            <a:xfrm>
                              <a:off x="2083981" y="754912"/>
                              <a:ext cx="116958" cy="11695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a:off x="1095153" y="1690577"/>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Isosceles Triangle 23"/>
                          <wps:cNvSpPr/>
                          <wps:spPr>
                            <a:xfrm>
                              <a:off x="1477925" y="1998921"/>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a:off x="3083441" y="808074"/>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2785730" y="1180214"/>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a:off x="1541720" y="1679944"/>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osceles Triangle 27"/>
                          <wps:cNvSpPr/>
                          <wps:spPr>
                            <a:xfrm>
                              <a:off x="1733106" y="1307805"/>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Isosceles Triangle 28"/>
                          <wps:cNvSpPr/>
                          <wps:spPr>
                            <a:xfrm>
                              <a:off x="1881962" y="1552353"/>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Isosceles Triangle 29"/>
                          <wps:cNvSpPr/>
                          <wps:spPr>
                            <a:xfrm>
                              <a:off x="2232837" y="1180214"/>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Isosceles Triangle 30"/>
                          <wps:cNvSpPr/>
                          <wps:spPr>
                            <a:xfrm>
                              <a:off x="2530548" y="1669312"/>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a:off x="3030279" y="1424763"/>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Isosceles Triangle 32"/>
                          <wps:cNvSpPr/>
                          <wps:spPr>
                            <a:xfrm>
                              <a:off x="2158409" y="1392865"/>
                              <a:ext cx="135451" cy="116958"/>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H="1">
                              <a:off x="1095153" y="191386"/>
                              <a:ext cx="2147777" cy="871633"/>
                            </a:xfrm>
                            <a:prstGeom prst="line">
                              <a:avLst/>
                            </a:prstGeom>
                            <a:noFill/>
                            <a:ln w="9525" cap="flat" cmpd="sng" algn="ctr">
                              <a:solidFill>
                                <a:sysClr val="windowText" lastClr="000000">
                                  <a:shade val="95000"/>
                                  <a:satMod val="105000"/>
                                </a:sysClr>
                              </a:solidFill>
                              <a:prstDash val="solid"/>
                            </a:ln>
                            <a:effectLst/>
                          </wps:spPr>
                          <wps:bodyPr/>
                        </wps:wsp>
                        <wps:wsp>
                          <wps:cNvPr id="34" name="Straight Connector 34"/>
                          <wps:cNvCnPr/>
                          <wps:spPr>
                            <a:xfrm flipH="1">
                              <a:off x="1201479" y="1063256"/>
                              <a:ext cx="2147777" cy="871633"/>
                            </a:xfrm>
                            <a:prstGeom prst="line">
                              <a:avLst/>
                            </a:prstGeom>
                            <a:noFill/>
                            <a:ln w="9525" cap="flat" cmpd="sng" algn="ctr">
                              <a:solidFill>
                                <a:sysClr val="windowText" lastClr="000000">
                                  <a:shade val="95000"/>
                                  <a:satMod val="105000"/>
                                </a:sysClr>
                              </a:solidFill>
                              <a:prstDash val="solid"/>
                            </a:ln>
                            <a:effectLst/>
                          </wps:spPr>
                          <wps:bodyPr/>
                        </wps:wsp>
                        <wps:wsp>
                          <wps:cNvPr id="35" name="Straight Connector 35"/>
                          <wps:cNvCnPr/>
                          <wps:spPr>
                            <a:xfrm flipH="1">
                              <a:off x="1095153" y="648586"/>
                              <a:ext cx="2147777" cy="871633"/>
                            </a:xfrm>
                            <a:prstGeom prst="line">
                              <a:avLst/>
                            </a:prstGeom>
                            <a:noFill/>
                            <a:ln w="9525" cap="flat" cmpd="sng" algn="ctr">
                              <a:solidFill>
                                <a:sysClr val="windowText" lastClr="000000">
                                  <a:shade val="95000"/>
                                  <a:satMod val="105000"/>
                                </a:sysClr>
                              </a:solidFill>
                              <a:prstDash val="lgDash"/>
                            </a:ln>
                            <a:effectLst/>
                          </wps:spPr>
                          <wps:bodyPr/>
                        </wps:wsp>
                        <wps:wsp>
                          <wps:cNvPr id="217" name="Text Box 2"/>
                          <wps:cNvSpPr txBox="1">
                            <a:spLocks noChangeArrowheads="1"/>
                          </wps:cNvSpPr>
                          <wps:spPr bwMode="auto">
                            <a:xfrm>
                              <a:off x="3381153" y="0"/>
                              <a:ext cx="1852295" cy="297180"/>
                            </a:xfrm>
                            <a:prstGeom prst="rect">
                              <a:avLst/>
                            </a:prstGeom>
                            <a:solidFill>
                              <a:srgbClr val="FFFFFF"/>
                            </a:solidFill>
                            <a:ln w="9525">
                              <a:noFill/>
                              <a:miter lim="800000"/>
                              <a:headEnd/>
                              <a:tailEnd/>
                            </a:ln>
                          </wps:spPr>
                          <wps:txbx>
                            <w:txbxContent>
                              <w:p w:rsidR="00C41978" w:rsidRDefault="00C41978">
                                <w:r>
                                  <w:t>High ability</w:t>
                                </w:r>
                              </w:p>
                            </w:txbxContent>
                          </wps:txbx>
                          <wps:bodyPr rot="0" vert="horz" wrap="square" lIns="91440" tIns="45720" rIns="91440" bIns="45720" anchor="t" anchorCtr="0">
                            <a:noAutofit/>
                          </wps:bodyPr>
                        </wps:wsp>
                        <wps:wsp>
                          <wps:cNvPr id="38" name="Text Box 2"/>
                          <wps:cNvSpPr txBox="1">
                            <a:spLocks noChangeArrowheads="1"/>
                          </wps:cNvSpPr>
                          <wps:spPr bwMode="auto">
                            <a:xfrm>
                              <a:off x="3381153" y="425302"/>
                              <a:ext cx="1286510" cy="297180"/>
                            </a:xfrm>
                            <a:prstGeom prst="rect">
                              <a:avLst/>
                            </a:prstGeom>
                            <a:solidFill>
                              <a:srgbClr val="FFFFFF"/>
                            </a:solidFill>
                            <a:ln w="9525">
                              <a:noFill/>
                              <a:miter lim="800000"/>
                              <a:headEnd/>
                              <a:tailEnd/>
                            </a:ln>
                          </wps:spPr>
                          <wps:txbx>
                            <w:txbxContent>
                              <w:p w:rsidR="00C41978" w:rsidRDefault="00C41978" w:rsidP="00DC47CA">
                                <w:r>
                                  <w:t>Estimated returns</w:t>
                                </w:r>
                              </w:p>
                            </w:txbxContent>
                          </wps:txbx>
                          <wps:bodyPr rot="0" vert="horz" wrap="square" lIns="91440" tIns="45720" rIns="91440" bIns="45720" anchor="t" anchorCtr="0">
                            <a:noAutofit/>
                          </wps:bodyPr>
                        </wps:wsp>
                        <wps:wsp>
                          <wps:cNvPr id="39" name="Text Box 2"/>
                          <wps:cNvSpPr txBox="1">
                            <a:spLocks noChangeArrowheads="1"/>
                          </wps:cNvSpPr>
                          <wps:spPr bwMode="auto">
                            <a:xfrm>
                              <a:off x="3434316" y="871870"/>
                              <a:ext cx="1286510" cy="297180"/>
                            </a:xfrm>
                            <a:prstGeom prst="rect">
                              <a:avLst/>
                            </a:prstGeom>
                            <a:solidFill>
                              <a:srgbClr val="FFFFFF"/>
                            </a:solidFill>
                            <a:ln w="9525">
                              <a:noFill/>
                              <a:miter lim="800000"/>
                              <a:headEnd/>
                              <a:tailEnd/>
                            </a:ln>
                          </wps:spPr>
                          <wps:txbx>
                            <w:txbxContent>
                              <w:p w:rsidR="00C41978" w:rsidRDefault="00C41978" w:rsidP="00DC47CA">
                                <w:r>
                                  <w:t xml:space="preserve">Low ability </w:t>
                                </w:r>
                              </w:p>
                            </w:txbxContent>
                          </wps:txbx>
                          <wps:bodyPr rot="0" vert="horz" wrap="square" lIns="91440" tIns="45720" rIns="91440" bIns="45720" anchor="t" anchorCtr="0">
                            <a:noAutofit/>
                          </wps:bodyPr>
                        </wps:wsp>
                        <wps:wsp>
                          <wps:cNvPr id="41" name="Text Box 2"/>
                          <wps:cNvSpPr txBox="1">
                            <a:spLocks noChangeArrowheads="1"/>
                          </wps:cNvSpPr>
                          <wps:spPr bwMode="auto">
                            <a:xfrm>
                              <a:off x="3402418" y="2434856"/>
                              <a:ext cx="1286510" cy="297180"/>
                            </a:xfrm>
                            <a:prstGeom prst="rect">
                              <a:avLst/>
                            </a:prstGeom>
                            <a:solidFill>
                              <a:srgbClr val="FFFFFF"/>
                            </a:solidFill>
                            <a:ln w="9525">
                              <a:noFill/>
                              <a:miter lim="800000"/>
                              <a:headEnd/>
                              <a:tailEnd/>
                            </a:ln>
                          </wps:spPr>
                          <wps:txbx>
                            <w:txbxContent>
                              <w:p w:rsidR="00C41978" w:rsidRDefault="00C41978" w:rsidP="00DC47CA">
                                <w:r>
                                  <w:t xml:space="preserve">Education </w:t>
                                </w:r>
                              </w:p>
                            </w:txbxContent>
                          </wps:txbx>
                          <wps:bodyPr rot="0" vert="horz" wrap="square" lIns="91440" tIns="45720" rIns="91440" bIns="45720" anchor="t" anchorCtr="0">
                            <a:noAutofit/>
                          </wps:bodyPr>
                        </wps:wsp>
                        <wps:wsp>
                          <wps:cNvPr id="42" name="Text Box 2"/>
                          <wps:cNvSpPr txBox="1">
                            <a:spLocks noChangeArrowheads="1"/>
                          </wps:cNvSpPr>
                          <wps:spPr bwMode="auto">
                            <a:xfrm>
                              <a:off x="0" y="170121"/>
                              <a:ext cx="688340" cy="297180"/>
                            </a:xfrm>
                            <a:prstGeom prst="rect">
                              <a:avLst/>
                            </a:prstGeom>
                            <a:solidFill>
                              <a:srgbClr val="FFFFFF"/>
                            </a:solidFill>
                            <a:ln w="9525">
                              <a:noFill/>
                              <a:miter lim="800000"/>
                              <a:headEnd/>
                              <a:tailEnd/>
                            </a:ln>
                          </wps:spPr>
                          <wps:txbx>
                            <w:txbxContent>
                              <w:p w:rsidR="00C41978" w:rsidRDefault="00C41978" w:rsidP="00DC47CA">
                                <w:r>
                                  <w:t xml:space="preserve">Wages </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21.75pt;margin-top:8.5pt;width:412.1pt;height:215.1pt;z-index:251657216" coordsize="52334,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">
                <v:line id="Straight Connector 5" o:spid="_x0000_s1027" style="position:absolute;visibility:visible;mso-wrap-style:square" from="7868,1275" to="7868,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Straight Connector 6" o:spid="_x0000_s1028" style="position:absolute;flip:x;visibility:visible;mso-wrap-style:square" from="7868,23923" to="42824,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group id="Group 43" o:spid="_x0000_s1029" style="position:absolute;width:52334;height:27320" coordsize="52334,27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Diamond 9" o:spid="_x0000_s1030" type="#_x0000_t4" style="position:absolute;left:14247;top:7655;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bSMQA&#10;AADaAAAADwAAAGRycy9kb3ducmV2LnhtbESPUWvCMBSF3wf+h3CFvc10ww3XGUUKA2HImIrPl+ba&#10;ZjY3NYlt3a9fBgMfD+ec73Dmy8E2oiMfjGMFj5MMBHHptOFKwX73/jADESKyxsYxKbhSgOVidDfH&#10;XLuev6jbxkokCIccFdQxtrmUoazJYpi4ljh5R+ctxiR9JbXHPsFtI5+y7EVaNJwWamypqKk8bS9W&#10;Qe9/psX0uaBmYz6++8/D8XwynVL342H1BiLSEG/h//ZaK3iF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20jEAAAA2gAAAA8AAAAAAAAAAAAAAAAAmAIAAGRycy9k&#10;b3ducmV2LnhtbFBLBQYAAAAABAAEAPUAAACJAwAAAAA=&#10;" fillcolor="#4f81bd" stroked="f" strokeweight="2pt"/>
                  <v:shape id="Diamond 11" o:spid="_x0000_s1031" type="#_x0000_t4" style="position:absolute;left:30409;top:2977;width:1169;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PWcIA&#10;AADbAAAADwAAAGRycy9kb3ducmV2LnhtbERP32vCMBB+H/g/hBP2pqlDZXRGGYXBYAxRx56P5mwz&#10;m0uXZG31rzeCsLf7+H7eajPYRnTkg3GsYDbNQBCXThuuFHwd3ibPIEJE1tg4JgVnCrBZjx5WmGvX&#10;8466faxECuGQo4I6xjaXMpQ1WQxT1xIn7ui8xZigr6T22Kdw28inLFtKi4ZTQ40tFTWVp/2fVdD7&#10;y7yYLwpqPs3HT7/9Pv6eTKfU43h4fQERaYj/4rv7Xaf5M7j9kg6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A9ZwgAAANsAAAAPAAAAAAAAAAAAAAAAAJgCAABkcnMvZG93&#10;bnJldi54bWxQSwUGAAAAAAQABAD1AAAAhwMAAAAA&#10;" fillcolor="#4f81bd" stroked="f" strokeweight="2pt"/>
                  <v:shape id="Diamond 12" o:spid="_x0000_s1032" type="#_x0000_t4" style="position:absolute;left:16905;top:7974;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RLsIA&#10;AADbAAAADwAAAGRycy9kb3ducmV2LnhtbERPW2vCMBR+F/wP4Qh7m6nihnRGGYXBQMbwwp4PzbHN&#10;bE5qEttuv94MBr6dj+96VpvBNqIjH4xjBbNpBoK4dNpwpeB4eHtcgggRWWPjmBT8UIDNejxaYa5d&#10;zzvq9rESKYRDjgrqGNtcylDWZDFMXUucuJPzFmOCvpLaY5/CbSPnWfYsLRpODTW2VNRUnvdXq6D3&#10;v4ti8VRQ82G23/3n1+lyNp1SD5Ph9QVEpCHexf/ud53mz+Hvl3S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pEuwgAAANsAAAAPAAAAAAAAAAAAAAAAAJgCAABkcnMvZG93&#10;bnJldi54bWxQSwUGAAAAAAQABAD1AAAAhwMAAAAA&#10;" fillcolor="#4f81bd" stroked="f" strokeweight="2pt"/>
                  <v:shape id="Diamond 13" o:spid="_x0000_s1033" type="#_x0000_t4" style="position:absolute;left:12865;top:9994;width:1169;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0tcIA&#10;AADbAAAADwAAAGRycy9kb3ducmV2LnhtbERP32vCMBB+H/g/hBP2NtNtKqMzihQGwhhjKj4fzdlm&#10;NpeaxLbbX78MBN/u4/t5i9VgG9GRD8axgsdJBoK4dNpwpWC/e3t4AREissbGMSn4oQCr5ehugbl2&#10;PX9Rt42VSCEcclRQx9jmUoayJoth4lrixB2dtxgT9JXUHvsUbhv5lGVzadFwaqixpaKm8rS9WAW9&#10;/50W01lBzYd5/+4/D8fzyXRK3Y+H9SuISEO8ia/ujU7zn+H/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jS1wgAAANsAAAAPAAAAAAAAAAAAAAAAAJgCAABkcnMvZG93&#10;bnJldi54bWxQSwUGAAAAAAQABAD1AAAAhwMAAAAA&#10;" fillcolor="#4f81bd" stroked="f" strokeweight="2pt"/>
                  <v:shape id="Diamond 14" o:spid="_x0000_s1034" type="#_x0000_t4" style="position:absolute;left:27219;top:4146;width:1169;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wcIA&#10;AADbAAAADwAAAGRycy9kb3ducmV2LnhtbERP32vCMBB+F/wfwgl7m+mkG9IZZRQEQcaYGz4fzdlm&#10;NpeaxLbbX78MBr7dx/fzVpvRtqInH4xjBQ/zDARx5bThWsHnx/Z+CSJEZI2tY1LwTQE26+lkhYV2&#10;A79Tf4i1SCEcClTQxNgVUoaqIYth7jrixJ2ctxgT9LXUHocUblu5yLInadFwamiwo7Kh6ny4WgWD&#10;/8nL/LGk9tXsv4a34+lyNr1Sd7Px5RlEpDHexP/unU7zc/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6zBwgAAANsAAAAPAAAAAAAAAAAAAAAAAJgCAABkcnMvZG93&#10;bnJldi54bWxQSwUGAAAAAAQABAD1AAAAhwMAAAAA&#10;" fillcolor="#4f81bd" stroked="f" strokeweight="2pt"/>
                  <v:shape id="Diamond 15" o:spid="_x0000_s1035" type="#_x0000_t4" style="position:absolute;left:27113;top:6485;width:1273;height:1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JWsIA&#10;AADbAAAADwAAAGRycy9kb3ducmV2LnhtbERPW2vCMBR+H/gfwhF8m6lDh3RGGYXBQMbwwp4PzbHN&#10;bE5qkrXdfr0RhL2dj+96VpvBNqIjH4xjBbNpBoK4dNpwpeB4eHtcgggRWWPjmBT8UoDNevSwwly7&#10;nnfU7WMlUgiHHBXUMba5lKGsyWKYupY4cSfnLcYEfSW1xz6F20Y+ZdmztGg4NdTYUlFTed7/WAW9&#10;/5sX80VBzYfZfvefX6fL2XRKTcbD6wuISEP8F9/d7zrNX8Dtl3S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wlawgAAANsAAAAPAAAAAAAAAAAAAAAAAJgCAABkcnMvZG93&#10;bnJldi54bWxQSwUGAAAAAAQABAD1AAAAhwMAAAAA&#10;" fillcolor="#4f81bd" stroked="f" strokeweight="2pt"/>
                  <v:shape id="Diamond 16" o:spid="_x0000_s1036" type="#_x0000_t4" style="position:absolute;left:19457;top:5103;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XLcIA&#10;AADbAAAADwAAAGRycy9kb3ducmV2LnhtbERP32vCMBB+F/wfwgl701RxMjqjjIIwGEOmY89Hc7aZ&#10;zaUmWdv51y8Dwbf7+H7eejvYRnTkg3GsYD7LQBCXThuuFHwed9MnECEia2wck4JfCrDdjEdrzLXr&#10;+YO6Q6xECuGQo4I6xjaXMpQ1WQwz1xIn7uS8xZigr6T22Kdw28hFlq2kRcOpocaWiprK8+HHKuj9&#10;dVksHwtq3s3bd7//Ol3OplPqYTK8PIOINMS7+OZ+1Wn+Cv5/S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ZctwgAAANsAAAAPAAAAAAAAAAAAAAAAAJgCAABkcnMvZG93&#10;bnJldi54bWxQSwUGAAAAAAQABAD1AAAAhwMAAAAA&#10;" fillcolor="#4f81bd" stroked="f" strokeweight="2pt"/>
                  <v:shape id="Diamond 17" o:spid="_x0000_s1037" type="#_x0000_t4" style="position:absolute;left:28388;top:425;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ytsIA&#10;AADbAAAADwAAAGRycy9kb3ducmV2LnhtbERP32vCMBB+H/g/hBP2NtMNN0dnFCkMhCFjKj4fzdlm&#10;NpeaxLbur18GA9/u4/t58+VgG9GRD8axgsdJBoK4dNpwpWC/e394BREissbGMSm4UoDlYnQ3x1y7&#10;nr+o28ZKpBAOOSqoY2xzKUNZk8UwcS1x4o7OW4wJ+kpqj30Kt418yrIXadFwaqixpaKm8rS9WAW9&#10;/5kW0+eCmo35+O4/D8fzyXRK3Y+H1RuISEO8if/da53mz+D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TK2wgAAANsAAAAPAAAAAAAAAAAAAAAAAJgCAABkcnMvZG93&#10;bnJldi54bWxQSwUGAAAAAAQABAD1AAAAhwMAAAAA&#10;" fillcolor="#4f81bd" stroked="f" strokeweight="2pt"/>
                  <v:shape id="Diamond 18" o:spid="_x0000_s1038" type="#_x0000_t4" style="position:absolute;left:9781;top:6273;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mxMQA&#10;AADbAAAADwAAAGRycy9kb3ducmV2LnhtbESPQUvDQBCF74L/YZmCN7upVCmx21ICgiAitsXzkJ0m&#10;22Zn4+6aRH+9cxC8zfDevPfNejv5Tg0UkwtsYDEvQBHXwTpuDBwPT7crUCkjW+wCk4FvSrDdXF+t&#10;sbRh5Hca9rlREsKpRANtzn2pdapb8pjmoScW7RSixyxrbLSNOEq47/RdUTxoj46locWeqpbqy/7L&#10;Gxjjz7Ja3lfUvbqX8/j2cfq8uMGYm9m0ewS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psTEAAAA2wAAAA8AAAAAAAAAAAAAAAAAmAIAAGRycy9k&#10;b3ducmV2LnhtbFBLBQYAAAAABAAEAPUAAACJAwAAAAA=&#10;" fillcolor="#4f81bd" stroked="f" strokeweight="2pt"/>
                  <v:shape id="Diamond 19" o:spid="_x0000_s1039" type="#_x0000_t4" style="position:absolute;left:24773;top:3721;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DX8IA&#10;AADbAAAADwAAAGRycy9kb3ducmV2LnhtbERP32vCMBB+H/g/hBP2NtMNN1xnFCkMhCFjKj4fzdlm&#10;NpeaxLbur18GA9/u4/t58+VgG9GRD8axgsdJBoK4dNpwpWC/e3+YgQgRWWPjmBRcKcByMbqbY65d&#10;z1/UbWMlUgiHHBXUMba5lKGsyWKYuJY4cUfnLcYEfSW1xz6F20Y+ZdmLtGg4NdTYUlFTedperILe&#10;/0yL6XNBzcZ8fPefh+P5ZDql7sfD6g1EpCHexP/utU7zX+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gNfwgAAANsAAAAPAAAAAAAAAAAAAAAAAJgCAABkcnMvZG93&#10;bnJldi54bWxQSwUGAAAAAAQABAD1AAAAhwMAAAAA&#10;" fillcolor="#4f81bd" stroked="f" strokeweight="2pt"/>
                  <v:shape id="Diamond 20" o:spid="_x0000_s1040" type="#_x0000_t4" style="position:absolute;left:10632;top:12333;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gf8EA&#10;AADbAAAADwAAAGRycy9kb3ducmV2LnhtbERPXWvCMBR9H/gfwhV8m6nihlSjSEEYyBhT8fnSXNto&#10;c1OTrO3265eHwR4P53u9HWwjOvLBOFYwm2YgiEunDVcKzqf98xJEiMgaG8ek4JsCbDejpzXm2vX8&#10;Sd0xViKFcMhRQR1jm0sZyposhqlriRN3dd5iTNBXUnvsU7ht5DzLXqVFw6mhxpaKmsr78csq6P3P&#10;oli8FNS8m8Ot/7hcH3fTKTUZD7sViEhD/Bf/ud+0gnlan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YH/BAAAA2wAAAA8AAAAAAAAAAAAAAAAAmAIAAGRycy9kb3du&#10;cmV2LnhtbFBLBQYAAAAABAAEAPUAAACGAwAAAAA=&#10;" fillcolor="#4f81bd" stroked="f" strokeweight="2pt"/>
                  <v:shape id="Diamond 21" o:spid="_x0000_s1041" type="#_x0000_t4" style="position:absolute;left:20839;top:7549;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F5MQA&#10;AADbAAAADwAAAGRycy9kb3ducmV2LnhtbESPX2vCMBTF3wW/Q7iDvc1UcUM6o4zCYCBj+AefL821&#10;zWxuahLbbp/eDAY+Hs45v8NZrgfbiI58MI4VTCcZCOLSacOVgsP+/WkBIkRkjY1jUvBDAdar8WiJ&#10;uXY9b6nbxUokCIccFdQxtrmUoazJYpi4ljh5J+ctxiR9JbXHPsFtI2dZ9iItGk4LNbZU1FSed1er&#10;oPe/82L+XFDzaTbf/dfxdDmbTqnHh+HtFUSkId7D/+0PrWA2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xeTEAAAA2wAAAA8AAAAAAAAAAAAAAAAAmAIAAGRycy9k&#10;b3ducmV2LnhtbFBLBQYAAAAABAAEAPUAAACJAwAAAAA=&#10;" fillcolor="#4f81bd"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42" type="#_x0000_t5" style="position:absolute;left:10951;top:16905;width:1355;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m8MA&#10;AADbAAAADwAAAGRycy9kb3ducmV2LnhtbESPQWvCQBSE7wX/w/IEb3XTCFZSVxFBKpRCGj14fOy+&#10;ZkOzb0N2a9J/3xUEj8PMfMOst6NrxZX60HhW8DLPQBBrbxquFZxPh+cViBCRDbaeScEfBdhuJk9r&#10;LIwf+IuuVaxFgnAoUIGNsSukDNqSwzD3HXHyvn3vMCbZ19L0OCS4a2WeZUvpsOG0YLGjvSX9U/06&#10;BZfPSu8u2pbVR2bKcgiL1+M7KzWbjrs3EJHG+Ajf20ejIM/h9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vm8MAAADbAAAADwAAAAAAAAAAAAAAAACYAgAAZHJzL2Rv&#10;d25yZXYueG1sUEsFBgAAAAAEAAQA9QAAAIgDAAAAAA==&#10;" fillcolor="#c0504d" stroked="f" strokeweight="2pt"/>
                  <v:shape id="Isosceles Triangle 23" o:spid="_x0000_s1043" type="#_x0000_t5" style="position:absolute;left:14779;top:19989;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KAMMA&#10;AADbAAAADwAAAGRycy9kb3ducmV2LnhtbESPQWsCMRSE7wX/Q3iCt5pVwcpqFBGKQilsVw8eH8lz&#10;s7h5WTapu/33jVDocZiZb5jNbnCNeFAXas8KZtMMBLH2puZKweX8/roCESKywcYzKfihALvt6GWD&#10;ufE9f9GjjJVIEA45KrAxtrmUQVtyGKa+JU7ezXcOY5JdJU2HfYK7Rs6zbCkd1pwWLLZ0sKTv5bdT&#10;cP0s9f6qbVF+ZKYo+rB4Ox1Zqcl42K9BRBrif/ivfTIK5gt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yKAMMAAADbAAAADwAAAAAAAAAAAAAAAACYAgAAZHJzL2Rv&#10;d25yZXYueG1sUEsFBgAAAAAEAAQA9QAAAIgDAAAAAA==&#10;" fillcolor="#c0504d" stroked="f" strokeweight="2pt"/>
                  <v:shape id="Isosceles Triangle 24" o:spid="_x0000_s1044" type="#_x0000_t5" style="position:absolute;left:30834;top:8080;width:1354;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SdMMA&#10;AADbAAAADwAAAGRycy9kb3ducmV2LnhtbESPQWsCMRSE7wX/Q3hCbzWrliqrUUQoCqWwrh48PpLn&#10;ZnHzsmxSd/vvm0Khx2FmvmHW28E14kFdqD0rmE4yEMTam5orBZfz+8sSRIjIBhvPpOCbAmw3o6c1&#10;5sb3fKJHGSuRIBxyVGBjbHMpg7bkMEx8S5y8m+8cxiS7SpoO+wR3jZxl2Zt0WHNasNjS3pK+l19O&#10;wfWz1LurtkX5kZmi6MN8cTywUs/jYbcCEWmI/+G/9tEomL3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SdMMAAADbAAAADwAAAAAAAAAAAAAAAACYAgAAZHJzL2Rv&#10;d25yZXYueG1sUEsFBgAAAAAEAAQA9QAAAIgDAAAAAA==&#10;" fillcolor="#c0504d" stroked="f" strokeweight="2pt"/>
                  <v:shape id="Isosceles Triangle 25" o:spid="_x0000_s1045" type="#_x0000_t5" style="position:absolute;left:27857;top:11802;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378MA&#10;AADbAAAADwAAAGRycy9kb3ducmV2LnhtbESPQWsCMRSE7wX/Q3hCbzWr0iqrUUQoCqWwrh48PpLn&#10;ZnHzsmxSd/vvm0Khx2FmvmHW28E14kFdqD0rmE4yEMTam5orBZfz+8sSRIjIBhvPpOCbAmw3o6c1&#10;5sb3fKJHGSuRIBxyVGBjbHMpg7bkMEx8S5y8m+8cxiS7SpoO+wR3jZxl2Zt0WHNasNjS3pK+l19O&#10;wfWz1LurtkX5kZmi6MN8cTywUs/jYbcCEWmI/+G/9tEomL3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378MAAADbAAAADwAAAAAAAAAAAAAAAACYAgAAZHJzL2Rv&#10;d25yZXYueG1sUEsFBgAAAAAEAAQA9QAAAIgDAAAAAA==&#10;" fillcolor="#c0504d" stroked="f" strokeweight="2pt"/>
                  <v:shape id="Isosceles Triangle 26" o:spid="_x0000_s1046" type="#_x0000_t5" style="position:absolute;left:15417;top:16799;width:1354;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pmMMA&#10;AADbAAAADwAAAGRycy9kb3ducmV2LnhtbESPQWsCMRSE7wX/Q3hCbzWrgpXVKCIUhVLYrh48PpLn&#10;ZnHzsmxSd/vvm4LgcZiZb5j1dnCNuFMXas8KppMMBLH2puZKwfn08bYEESKywcYzKfilANvN6GWN&#10;ufE9f9O9jJVIEA45KrAxtrmUQVtyGCa+JU7e1XcOY5JdJU2HfYK7Rs6ybCEd1pwWLLa0t6Rv5Y9T&#10;cPkq9e6ibVF+ZqYo+jB/Px5YqdfxsFuBiDTEZ/jRPhoFswX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spmMMAAADbAAAADwAAAAAAAAAAAAAAAACYAgAAZHJzL2Rv&#10;d25yZXYueG1sUEsFBgAAAAAEAAQA9QAAAIgDAAAAAA==&#10;" fillcolor="#c0504d" stroked="f" strokeweight="2pt"/>
                  <v:shape id="Isosceles Triangle 27" o:spid="_x0000_s1047" type="#_x0000_t5" style="position:absolute;left:17331;top:13078;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MA8MA&#10;AADbAAAADwAAAGRycy9kb3ducmV2LnhtbESPQWsCMRSE7wX/Q3hCbzWrQpXVKCIUhVLYrh48PpLn&#10;ZnHzsmxSd/vvG0HocZiZb5j1dnCNuFMXas8KppMMBLH2puZKwfn08bYEESKywcYzKfilANvN6GWN&#10;ufE9f9O9jJVIEA45KrAxtrmUQVtyGCa+JU7e1XcOY5JdJU2HfYK7Rs6y7F06rDktWGxpb0nfyh+n&#10;4PJV6t1F26L8zExR9GG+OB5YqdfxsFuBiDTE//CzfTQKZgt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MA8MAAADbAAAADwAAAAAAAAAAAAAAAACYAgAAZHJzL2Rv&#10;d25yZXYueG1sUEsFBgAAAAAEAAQA9QAAAIgDAAAAAA==&#10;" fillcolor="#c0504d" stroked="f" strokeweight="2pt"/>
                  <v:shape id="Isosceles Triangle 28" o:spid="_x0000_s1048" type="#_x0000_t5" style="position:absolute;left:18819;top:15523;width:1355;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YccAA&#10;AADbAAAADwAAAGRycy9kb3ducmV2LnhtbERPz2vCMBS+D/wfwhO8zVSFTTqjiCAKMujqDh4fyVtT&#10;1ryUJtr635uD4PHj+73aDK4RN+pC7VnBbJqBINbe1Fwp+D3v35cgQkQ22HgmBXcKsFmP3laYG9/z&#10;D93KWIkUwiFHBTbGNpcyaEsOw9S3xIn7853DmGBXSdNhn8JdI+dZ9iEd1pwaLLa0s6T/y6tTcPku&#10;9faibVGeMlMUfVh8Hg+s1GQ8bL9ARBriS/x0H42CeRqbvq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gYccAAAADbAAAADwAAAAAAAAAAAAAAAACYAgAAZHJzL2Rvd25y&#10;ZXYueG1sUEsFBgAAAAAEAAQA9QAAAIUDAAAAAA==&#10;" fillcolor="#c0504d" stroked="f" strokeweight="2pt"/>
                  <v:shape id="Isosceles Triangle 29" o:spid="_x0000_s1049" type="#_x0000_t5" style="position:absolute;left:22328;top:11802;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96sMA&#10;AADbAAAADwAAAGRycy9kb3ducmV2LnhtbESPQWsCMRSE7wX/Q3hCbzWrQqurUUQoCqWwrh48PpLn&#10;ZnHzsmxSd/vvm0Khx2FmvmHW28E14kFdqD0rmE4yEMTam5orBZfz+8sCRIjIBhvPpOCbAmw3o6c1&#10;5sb3fKJHGSuRIBxyVGBjbHMpg7bkMEx8S5y8m+8cxiS7SpoO+wR3jZxl2at0WHNasNjS3pK+l19O&#10;wfWz1LurtkX5kZmi6MP87XhgpZ7Hw24FItIQ/8N/7aNRMFv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S96sMAAADbAAAADwAAAAAAAAAAAAAAAACYAgAAZHJzL2Rv&#10;d25yZXYueG1sUEsFBgAAAAAEAAQA9QAAAIgDAAAAAA==&#10;" fillcolor="#c0504d" stroked="f" strokeweight="2pt"/>
                  <v:shape id="Isosceles Triangle 30" o:spid="_x0000_s1050" type="#_x0000_t5" style="position:absolute;left:25305;top:16693;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CqsAA&#10;AADbAAAADwAAAGRycy9kb3ducmV2LnhtbERPz2vCMBS+D/Y/hDfYbaZTUKlGkYEoDKFWDx4fybMp&#10;Ni+libb775eD4PHj+71cD64RD+pC7VnB9ygDQay9qblScD5tv+YgQkQ22HgmBX8UYL16f1tibnzP&#10;R3qUsRIphEOOCmyMbS5l0JYchpFviRN39Z3DmGBXSdNhn8JdI8dZNpUOa04NFlv6saRv5d0puBxK&#10;vbloW5S/mSmKPkxm+x0r9fkxbBYgIg3xJX6690bBJK1PX9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eCqsAAAADbAAAADwAAAAAAAAAAAAAAAACYAgAAZHJzL2Rvd25y&#10;ZXYueG1sUEsFBgAAAAAEAAQA9QAAAIUDAAAAAA==&#10;" fillcolor="#c0504d" stroked="f" strokeweight="2pt"/>
                  <v:shape id="Isosceles Triangle 31" o:spid="_x0000_s1051" type="#_x0000_t5" style="position:absolute;left:30302;top:14247;width:1355;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nMcMA&#10;AADbAAAADwAAAGRycy9kb3ducmV2LnhtbESPQWsCMRSE7wX/Q3iCt5q1gpXVKCKIQilsVw8eH8lz&#10;s7h5WTapu/33jVDocZiZb5j1dnCNeFAXas8KZtMMBLH2puZKweV8eF2CCBHZYOOZFPxQgO1m9LLG&#10;3Piev+hRxkokCIccFdgY21zKoC05DFPfEifv5juHMcmukqbDPsFdI9+ybCEd1pwWLLa0t6Tv5bdT&#10;cP0s9e6qbVF+ZKYo+jB/Px1Zqcl42K1ARBrif/ivfTIK5j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snMcMAAADbAAAADwAAAAAAAAAAAAAAAACYAgAAZHJzL2Rv&#10;d25yZXYueG1sUEsFBgAAAAAEAAQA9QAAAIgDAAAAAA==&#10;" fillcolor="#c0504d" stroked="f" strokeweight="2pt"/>
                  <v:shape id="Isosceles Triangle 32" o:spid="_x0000_s1052" type="#_x0000_t5" style="position:absolute;left:21584;top:13928;width:1354;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5RsMA&#10;AADbAAAADwAAAGRycy9kb3ducmV2LnhtbESPQWsCMRSE7wX/Q3iCt5pVwcpqFBGKQilsVw8eH8lz&#10;s7h5WTapu/33jVDocZiZb5jNbnCNeFAXas8KZtMMBLH2puZKweX8/roCESKywcYzKfihALvt6GWD&#10;ufE9f9GjjJVIEA45KrAxtrmUQVtyGKa+JU7ezXcOY5JdJU2HfYK7Rs6zbCkd1pwWLLZ0sKTv5bdT&#10;cP0s9f6qbVF+ZKYo+rB4Ox1Zqcl42K9BRBrif/ivfTIKFn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5RsMAAADbAAAADwAAAAAAAAAAAAAAAACYAgAAZHJzL2Rv&#10;d25yZXYueG1sUEsFBgAAAAAEAAQA9QAAAIgDAAAAAA==&#10;" fillcolor="#c0504d" stroked="f" strokeweight="2pt"/>
                  <v:line id="Straight Connector 33" o:spid="_x0000_s1053" style="position:absolute;flip:x;visibility:visible;mso-wrap-style:square" from="10951,1913" to="32429,1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Straight Connector 34" o:spid="_x0000_s1054" style="position:absolute;flip:x;visibility:visible;mso-wrap-style:square" from="12014,10632" to="33492,1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Straight Connector 35" o:spid="_x0000_s1055" style="position:absolute;flip:x;visibility:visible;mso-wrap-style:square" from="10951,6485" to="32429,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6/asMAAADbAAAADwAAAGRycy9kb3ducmV2LnhtbESPQWvCQBSE74L/YXmCN91EW1uiq9hK&#10;UTQXbb0/ss8kmH0bsqvGf+8KBY/DzHzDzBatqcSVGldaVhAPIxDEmdUl5wr+fn8GnyCcR9ZYWSYF&#10;d3KwmHc7M0y0vfGergefiwBhl6CCwvs6kdJlBRl0Q1sTB+9kG4M+yCaXusFbgJtKjqJoIg2WHBYK&#10;rOm7oOx8uBgFafqVnW27m6w36Uc5etvGK46PSvV77XIKwlPrX+H/9kYrGL/D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Ov2rDAAAA2wAAAA8AAAAAAAAAAAAA&#10;AAAAoQIAAGRycy9kb3ducmV2LnhtbFBLBQYAAAAABAAEAPkAAACRAwAAAAA=&#10;">
                    <v:stroke dashstyle="longDash"/>
                  </v:line>
                  <v:shapetype id="_x0000_t202" coordsize="21600,21600" o:spt="202" path="m,l,21600r21600,l21600,xe">
                    <v:stroke joinstyle="miter"/>
                    <v:path gradientshapeok="t" o:connecttype="rect"/>
                  </v:shapetype>
                  <v:shape id="Text Box 2" o:spid="_x0000_s1056" type="#_x0000_t202" style="position:absolute;left:33811;width:18523;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C41978" w:rsidRDefault="00C41978">
                          <w:r>
                            <w:t>High ability</w:t>
                          </w:r>
                        </w:p>
                      </w:txbxContent>
                    </v:textbox>
                  </v:shape>
                  <v:shape id="Text Box 2" o:spid="_x0000_s1057" type="#_x0000_t202" style="position:absolute;left:33811;top:4253;width:12865;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C41978" w:rsidRDefault="00C41978" w:rsidP="00DC47CA">
                          <w:r>
                            <w:t>Estimated returns</w:t>
                          </w:r>
                        </w:p>
                      </w:txbxContent>
                    </v:textbox>
                  </v:shape>
                  <v:shape id="Text Box 2" o:spid="_x0000_s1058" type="#_x0000_t202" style="position:absolute;left:34343;top:8718;width:1286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C41978" w:rsidRDefault="00C41978" w:rsidP="00DC47CA">
                          <w:r>
                            <w:t xml:space="preserve">Low ability </w:t>
                          </w:r>
                        </w:p>
                      </w:txbxContent>
                    </v:textbox>
                  </v:shape>
                  <v:shape id="Text Box 2" o:spid="_x0000_s1059" type="#_x0000_t202" style="position:absolute;left:34024;top:24348;width:1286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C41978" w:rsidRDefault="00C41978" w:rsidP="00DC47CA">
                          <w:r>
                            <w:t xml:space="preserve">Education </w:t>
                          </w:r>
                        </w:p>
                      </w:txbxContent>
                    </v:textbox>
                  </v:shape>
                  <v:shape id="Text Box 2" o:spid="_x0000_s1060" type="#_x0000_t202" style="position:absolute;top:1701;width:688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C41978" w:rsidRDefault="00C41978" w:rsidP="00DC47CA">
                          <w:r>
                            <w:t xml:space="preserve">Wages </w:t>
                          </w:r>
                        </w:p>
                      </w:txbxContent>
                    </v:textbox>
                  </v:shape>
                </v:group>
              </v:group>
            </w:pict>
          </mc:Fallback>
        </mc:AlternateContent>
      </w:r>
    </w:p>
    <w:p w:rsidR="00DC47CA" w:rsidRDefault="00DC47CA" w:rsidP="00DC47CA">
      <w:pPr>
        <w:rPr>
          <w:rFonts w:ascii="Times New Roman" w:hAnsi="Times New Roman"/>
          <w:sz w:val="24"/>
          <w:szCs w:val="24"/>
        </w:rPr>
      </w:pPr>
    </w:p>
    <w:p w:rsidR="004958C3" w:rsidRDefault="00DC47CA" w:rsidP="00DC47CA">
      <w:pPr>
        <w:tabs>
          <w:tab w:val="left" w:pos="7602"/>
        </w:tabs>
        <w:rPr>
          <w:rFonts w:ascii="Times New Roman" w:hAnsi="Times New Roman"/>
          <w:sz w:val="24"/>
          <w:szCs w:val="24"/>
        </w:rPr>
      </w:pPr>
      <w:r>
        <w:rPr>
          <w:rFonts w:ascii="Times New Roman" w:hAnsi="Times New Roman"/>
          <w:sz w:val="24"/>
          <w:szCs w:val="24"/>
        </w:rPr>
        <w:tab/>
      </w:r>
    </w:p>
    <w:p w:rsidR="00DC47CA" w:rsidRDefault="00DC47CA" w:rsidP="00DC47CA">
      <w:pPr>
        <w:tabs>
          <w:tab w:val="left" w:pos="7602"/>
        </w:tabs>
        <w:rPr>
          <w:rFonts w:ascii="Times New Roman" w:hAnsi="Times New Roman"/>
          <w:sz w:val="24"/>
          <w:szCs w:val="24"/>
        </w:rPr>
      </w:pPr>
    </w:p>
    <w:p w:rsidR="00DC47CA" w:rsidRDefault="00DC47CA" w:rsidP="00DC47CA">
      <w:pPr>
        <w:tabs>
          <w:tab w:val="left" w:pos="7602"/>
        </w:tabs>
        <w:rPr>
          <w:rFonts w:ascii="Times New Roman" w:hAnsi="Times New Roman"/>
          <w:sz w:val="24"/>
          <w:szCs w:val="24"/>
        </w:rPr>
      </w:pPr>
    </w:p>
    <w:p w:rsidR="00DC47CA" w:rsidRDefault="00DC47CA" w:rsidP="00DC47CA">
      <w:pPr>
        <w:tabs>
          <w:tab w:val="left" w:pos="7602"/>
        </w:tabs>
        <w:rPr>
          <w:rFonts w:ascii="Times New Roman" w:hAnsi="Times New Roman"/>
          <w:sz w:val="24"/>
          <w:szCs w:val="24"/>
        </w:rPr>
      </w:pPr>
    </w:p>
    <w:p w:rsidR="00DC47CA" w:rsidRDefault="00DC47CA" w:rsidP="00DC47CA">
      <w:pPr>
        <w:tabs>
          <w:tab w:val="left" w:pos="7602"/>
        </w:tabs>
        <w:rPr>
          <w:rFonts w:ascii="Times New Roman" w:hAnsi="Times New Roman"/>
          <w:sz w:val="24"/>
          <w:szCs w:val="24"/>
        </w:rPr>
      </w:pPr>
    </w:p>
    <w:p w:rsidR="00DC47CA" w:rsidRDefault="00DC47CA" w:rsidP="00DC47CA">
      <w:pPr>
        <w:tabs>
          <w:tab w:val="left" w:pos="7602"/>
        </w:tabs>
        <w:rPr>
          <w:rFonts w:ascii="Times New Roman" w:hAnsi="Times New Roman"/>
          <w:sz w:val="24"/>
          <w:szCs w:val="24"/>
        </w:rPr>
      </w:pPr>
    </w:p>
    <w:p w:rsidR="00DC47CA" w:rsidRDefault="00DC47CA" w:rsidP="00DC47CA">
      <w:pPr>
        <w:tabs>
          <w:tab w:val="left" w:pos="7602"/>
        </w:tabs>
        <w:rPr>
          <w:rFonts w:ascii="Times New Roman" w:hAnsi="Times New Roman"/>
          <w:sz w:val="24"/>
          <w:szCs w:val="24"/>
        </w:rPr>
      </w:pPr>
    </w:p>
    <w:p w:rsidR="00234B82" w:rsidRPr="00234B82" w:rsidRDefault="00234B82" w:rsidP="00234B82">
      <w:pPr>
        <w:pStyle w:val="ListParagraph"/>
        <w:numPr>
          <w:ilvl w:val="0"/>
          <w:numId w:val="2"/>
        </w:numPr>
        <w:tabs>
          <w:tab w:val="left" w:pos="7602"/>
        </w:tabs>
        <w:jc w:val="center"/>
        <w:rPr>
          <w:rFonts w:ascii="Times New Roman" w:hAnsi="Times New Roman"/>
          <w:sz w:val="24"/>
          <w:szCs w:val="24"/>
        </w:rPr>
      </w:pPr>
      <w:r>
        <w:rPr>
          <w:rFonts w:ascii="Times New Roman" w:hAnsi="Times New Roman"/>
          <w:sz w:val="24"/>
          <w:szCs w:val="24"/>
        </w:rPr>
        <w:t>Estimated returns when education is not correlated to unobserved ability</w:t>
      </w:r>
    </w:p>
    <w:p w:rsidR="00234B82" w:rsidRDefault="00234B82" w:rsidP="00DC47CA">
      <w:pPr>
        <w:tabs>
          <w:tab w:val="left" w:pos="7602"/>
        </w:tabs>
        <w:rPr>
          <w:rFonts w:ascii="Times New Roman" w:hAnsi="Times New Roman"/>
          <w:sz w:val="24"/>
          <w:szCs w:val="24"/>
        </w:rPr>
      </w:pPr>
      <w:r>
        <w:rPr>
          <w:rFonts w:ascii="Times New Roman" w:hAnsi="Times New Roman"/>
          <w:sz w:val="24"/>
          <w:szCs w:val="24"/>
        </w:rPr>
        <w:tab/>
      </w:r>
    </w:p>
    <w:p w:rsidR="00DC47CA" w:rsidRDefault="00625FA1" w:rsidP="00DC47CA">
      <w:pPr>
        <w:tabs>
          <w:tab w:val="left" w:pos="7602"/>
        </w:tabs>
        <w:rPr>
          <w:rFonts w:ascii="Times New Roman" w:hAnsi="Times New Roman"/>
          <w:sz w:val="24"/>
          <w:szCs w:val="24"/>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266700</wp:posOffset>
                </wp:positionH>
                <wp:positionV relativeFrom="paragraph">
                  <wp:posOffset>133985</wp:posOffset>
                </wp:positionV>
                <wp:extent cx="5262245" cy="2926080"/>
                <wp:effectExtent l="0" t="0" r="0" b="762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2245" cy="2926080"/>
                          <a:chOff x="0" y="0"/>
                          <a:chExt cx="5262099" cy="2926051"/>
                        </a:xfrm>
                      </wpg:grpSpPr>
                      <wps:wsp>
                        <wps:cNvPr id="207" name="Straight Connector 207"/>
                        <wps:cNvCnPr/>
                        <wps:spPr>
                          <a:xfrm>
                            <a:off x="781050" y="323850"/>
                            <a:ext cx="0" cy="2266729"/>
                          </a:xfrm>
                          <a:prstGeom prst="line">
                            <a:avLst/>
                          </a:prstGeom>
                          <a:noFill/>
                          <a:ln w="9525" cap="flat" cmpd="sng" algn="ctr">
                            <a:solidFill>
                              <a:sysClr val="windowText" lastClr="000000">
                                <a:shade val="95000"/>
                                <a:satMod val="105000"/>
                              </a:sysClr>
                            </a:solidFill>
                            <a:prstDash val="solid"/>
                          </a:ln>
                          <a:effectLst/>
                        </wps:spPr>
                        <wps:bodyPr/>
                      </wps:wsp>
                      <wps:wsp>
                        <wps:cNvPr id="211" name="Diamond 211"/>
                        <wps:cNvSpPr/>
                        <wps:spPr>
                          <a:xfrm>
                            <a:off x="3038475" y="495300"/>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iamond 213"/>
                        <wps:cNvSpPr/>
                        <wps:spPr>
                          <a:xfrm>
                            <a:off x="1285875" y="1190625"/>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iamond 214"/>
                        <wps:cNvSpPr/>
                        <wps:spPr>
                          <a:xfrm>
                            <a:off x="2724150" y="609600"/>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Diamond 215"/>
                        <wps:cNvSpPr/>
                        <wps:spPr>
                          <a:xfrm>
                            <a:off x="2714625" y="847725"/>
                            <a:ext cx="127370" cy="127368"/>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Diamond 216"/>
                        <wps:cNvSpPr/>
                        <wps:spPr>
                          <a:xfrm>
                            <a:off x="1943100" y="704850"/>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iamond 218"/>
                        <wps:cNvSpPr/>
                        <wps:spPr>
                          <a:xfrm>
                            <a:off x="2838450" y="238125"/>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iamond 220"/>
                        <wps:cNvSpPr/>
                        <wps:spPr>
                          <a:xfrm>
                            <a:off x="2476500" y="571500"/>
                            <a:ext cx="116949" cy="116947"/>
                          </a:xfrm>
                          <a:prstGeom prst="diamond">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Isosceles Triangle 223"/>
                        <wps:cNvSpPr/>
                        <wps:spPr>
                          <a:xfrm>
                            <a:off x="1095375" y="1885950"/>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Isosceles Triangle 224"/>
                        <wps:cNvSpPr/>
                        <wps:spPr>
                          <a:xfrm>
                            <a:off x="1476375" y="2190750"/>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Isosceles Triangle 226"/>
                        <wps:cNvSpPr/>
                        <wps:spPr>
                          <a:xfrm>
                            <a:off x="2781300" y="1371600"/>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Isosceles Triangle 227"/>
                        <wps:cNvSpPr/>
                        <wps:spPr>
                          <a:xfrm>
                            <a:off x="1543050" y="1876425"/>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Isosceles Triangle 228"/>
                        <wps:cNvSpPr/>
                        <wps:spPr>
                          <a:xfrm>
                            <a:off x="1733550" y="1504950"/>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Isosceles Triangle 229"/>
                        <wps:cNvSpPr/>
                        <wps:spPr>
                          <a:xfrm>
                            <a:off x="1876425" y="1743075"/>
                            <a:ext cx="135440" cy="116947"/>
                          </a:xfrm>
                          <a:prstGeom prst="triangle">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Straight Connector 234"/>
                        <wps:cNvCnPr/>
                        <wps:spPr>
                          <a:xfrm flipH="1">
                            <a:off x="1095375" y="390525"/>
                            <a:ext cx="2147608" cy="871548"/>
                          </a:xfrm>
                          <a:prstGeom prst="line">
                            <a:avLst/>
                          </a:prstGeom>
                          <a:noFill/>
                          <a:ln w="9525" cap="flat" cmpd="sng" algn="ctr">
                            <a:solidFill>
                              <a:sysClr val="windowText" lastClr="000000">
                                <a:shade val="95000"/>
                                <a:satMod val="105000"/>
                              </a:sysClr>
                            </a:solidFill>
                            <a:prstDash val="solid"/>
                          </a:ln>
                          <a:effectLst/>
                        </wps:spPr>
                        <wps:bodyPr/>
                      </wps:wsp>
                      <wps:wsp>
                        <wps:cNvPr id="235" name="Straight Connector 235"/>
                        <wps:cNvCnPr/>
                        <wps:spPr>
                          <a:xfrm flipH="1">
                            <a:off x="1200150" y="1257300"/>
                            <a:ext cx="2147608" cy="871548"/>
                          </a:xfrm>
                          <a:prstGeom prst="line">
                            <a:avLst/>
                          </a:prstGeom>
                          <a:noFill/>
                          <a:ln w="9525" cap="flat" cmpd="sng" algn="ctr">
                            <a:solidFill>
                              <a:sysClr val="windowText" lastClr="000000">
                                <a:shade val="95000"/>
                                <a:satMod val="105000"/>
                              </a:sysClr>
                            </a:solidFill>
                            <a:prstDash val="solid"/>
                          </a:ln>
                          <a:effectLst/>
                        </wps:spPr>
                        <wps:bodyPr/>
                      </wps:wsp>
                      <wps:wsp>
                        <wps:cNvPr id="237" name="Text Box 2"/>
                        <wps:cNvSpPr txBox="1">
                          <a:spLocks noChangeArrowheads="1"/>
                        </wps:cNvSpPr>
                        <wps:spPr bwMode="auto">
                          <a:xfrm>
                            <a:off x="3409950" y="285750"/>
                            <a:ext cx="1852149" cy="297151"/>
                          </a:xfrm>
                          <a:prstGeom prst="rect">
                            <a:avLst/>
                          </a:prstGeom>
                          <a:solidFill>
                            <a:srgbClr val="FFFFFF"/>
                          </a:solidFill>
                          <a:ln w="9525">
                            <a:noFill/>
                            <a:miter lim="800000"/>
                            <a:headEnd/>
                            <a:tailEnd/>
                          </a:ln>
                        </wps:spPr>
                        <wps:txbx>
                          <w:txbxContent>
                            <w:p w:rsidR="00C41978" w:rsidRDefault="00C41978" w:rsidP="004C4F3D">
                              <w:r>
                                <w:t>High ability</w:t>
                              </w:r>
                            </w:p>
                          </w:txbxContent>
                        </wps:txbx>
                        <wps:bodyPr rot="0" vert="horz" wrap="square" lIns="91440" tIns="45720" rIns="91440" bIns="45720" anchor="t" anchorCtr="0">
                          <a:noAutofit/>
                        </wps:bodyPr>
                      </wps:wsp>
                      <wps:wsp>
                        <wps:cNvPr id="236" name="Straight Connector 236"/>
                        <wps:cNvCnPr/>
                        <wps:spPr>
                          <a:xfrm flipH="1">
                            <a:off x="1295400" y="266700"/>
                            <a:ext cx="1837763" cy="2028825"/>
                          </a:xfrm>
                          <a:prstGeom prst="line">
                            <a:avLst/>
                          </a:prstGeom>
                          <a:noFill/>
                          <a:ln w="9525" cap="flat" cmpd="sng" algn="ctr">
                            <a:solidFill>
                              <a:sysClr val="windowText" lastClr="000000">
                                <a:shade val="95000"/>
                                <a:satMod val="105000"/>
                              </a:sysClr>
                            </a:solidFill>
                            <a:prstDash val="lgDash"/>
                          </a:ln>
                          <a:effectLst/>
                        </wps:spPr>
                        <wps:bodyPr/>
                      </wps:wsp>
                      <wps:wsp>
                        <wps:cNvPr id="238" name="Text Box 2"/>
                        <wps:cNvSpPr txBox="1">
                          <a:spLocks noChangeArrowheads="1"/>
                        </wps:cNvSpPr>
                        <wps:spPr bwMode="auto">
                          <a:xfrm>
                            <a:off x="3400425" y="0"/>
                            <a:ext cx="1286408" cy="297151"/>
                          </a:xfrm>
                          <a:prstGeom prst="rect">
                            <a:avLst/>
                          </a:prstGeom>
                          <a:solidFill>
                            <a:srgbClr val="FFFFFF"/>
                          </a:solidFill>
                          <a:ln w="9525">
                            <a:noFill/>
                            <a:miter lim="800000"/>
                            <a:headEnd/>
                            <a:tailEnd/>
                          </a:ln>
                        </wps:spPr>
                        <wps:txbx>
                          <w:txbxContent>
                            <w:p w:rsidR="00C41978" w:rsidRDefault="00C41978" w:rsidP="004C4F3D">
                              <w:r>
                                <w:t>Estimated returns</w:t>
                              </w:r>
                            </w:p>
                          </w:txbxContent>
                        </wps:txbx>
                        <wps:bodyPr rot="0" vert="horz" wrap="square" lIns="91440" tIns="45720" rIns="91440" bIns="45720" anchor="t" anchorCtr="0">
                          <a:noAutofit/>
                        </wps:bodyPr>
                      </wps:wsp>
                      <wps:wsp>
                        <wps:cNvPr id="239" name="Text Box 2"/>
                        <wps:cNvSpPr txBox="1">
                          <a:spLocks noChangeArrowheads="1"/>
                        </wps:cNvSpPr>
                        <wps:spPr bwMode="auto">
                          <a:xfrm>
                            <a:off x="3429000" y="1066800"/>
                            <a:ext cx="1286408" cy="297151"/>
                          </a:xfrm>
                          <a:prstGeom prst="rect">
                            <a:avLst/>
                          </a:prstGeom>
                          <a:solidFill>
                            <a:srgbClr val="FFFFFF"/>
                          </a:solidFill>
                          <a:ln w="9525">
                            <a:noFill/>
                            <a:miter lim="800000"/>
                            <a:headEnd/>
                            <a:tailEnd/>
                          </a:ln>
                        </wps:spPr>
                        <wps:txbx>
                          <w:txbxContent>
                            <w:p w:rsidR="00C41978" w:rsidRDefault="00C41978" w:rsidP="004C4F3D">
                              <w:r>
                                <w:t xml:space="preserve">Low ability </w:t>
                              </w:r>
                            </w:p>
                          </w:txbxContent>
                        </wps:txbx>
                        <wps:bodyPr rot="0" vert="horz" wrap="square" lIns="91440" tIns="45720" rIns="91440" bIns="45720" anchor="t" anchorCtr="0">
                          <a:noAutofit/>
                        </wps:bodyPr>
                      </wps:wsp>
                      <wps:wsp>
                        <wps:cNvPr id="240" name="Text Box 2"/>
                        <wps:cNvSpPr txBox="1">
                          <a:spLocks noChangeArrowheads="1"/>
                        </wps:cNvSpPr>
                        <wps:spPr bwMode="auto">
                          <a:xfrm>
                            <a:off x="3400425" y="2628900"/>
                            <a:ext cx="1286408" cy="297151"/>
                          </a:xfrm>
                          <a:prstGeom prst="rect">
                            <a:avLst/>
                          </a:prstGeom>
                          <a:solidFill>
                            <a:srgbClr val="FFFFFF"/>
                          </a:solidFill>
                          <a:ln w="9525">
                            <a:noFill/>
                            <a:miter lim="800000"/>
                            <a:headEnd/>
                            <a:tailEnd/>
                          </a:ln>
                        </wps:spPr>
                        <wps:txbx>
                          <w:txbxContent>
                            <w:p w:rsidR="00C41978" w:rsidRDefault="00C41978" w:rsidP="004C4F3D">
                              <w:r>
                                <w:t xml:space="preserve">Education </w:t>
                              </w:r>
                            </w:p>
                          </w:txbxContent>
                        </wps:txbx>
                        <wps:bodyPr rot="0" vert="horz" wrap="square" lIns="91440" tIns="45720" rIns="91440" bIns="45720" anchor="t" anchorCtr="0">
                          <a:noAutofit/>
                        </wps:bodyPr>
                      </wps:wsp>
                      <wps:wsp>
                        <wps:cNvPr id="241" name="Text Box 2"/>
                        <wps:cNvSpPr txBox="1">
                          <a:spLocks noChangeArrowheads="1"/>
                        </wps:cNvSpPr>
                        <wps:spPr bwMode="auto">
                          <a:xfrm>
                            <a:off x="0" y="361950"/>
                            <a:ext cx="688286" cy="297151"/>
                          </a:xfrm>
                          <a:prstGeom prst="rect">
                            <a:avLst/>
                          </a:prstGeom>
                          <a:solidFill>
                            <a:srgbClr val="FFFFFF"/>
                          </a:solidFill>
                          <a:ln w="9525">
                            <a:noFill/>
                            <a:miter lim="800000"/>
                            <a:headEnd/>
                            <a:tailEnd/>
                          </a:ln>
                        </wps:spPr>
                        <wps:txbx>
                          <w:txbxContent>
                            <w:p w:rsidR="00C41978" w:rsidRDefault="00C41978" w:rsidP="004C4F3D">
                              <w:r>
                                <w:t xml:space="preserve">Wages </w:t>
                              </w:r>
                            </w:p>
                          </w:txbxContent>
                        </wps:txbx>
                        <wps:bodyPr rot="0" vert="horz" wrap="square" lIns="91440" tIns="45720" rIns="91440" bIns="45720" anchor="t" anchorCtr="0">
                          <a:noAutofit/>
                        </wps:bodyPr>
                      </wps:wsp>
                      <wps:wsp>
                        <wps:cNvPr id="208" name="Straight Connector 208"/>
                        <wps:cNvCnPr/>
                        <wps:spPr>
                          <a:xfrm flipH="1">
                            <a:off x="781050" y="2590800"/>
                            <a:ext cx="3495399"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242" o:spid="_x0000_s1061" style="position:absolute;margin-left:21pt;margin-top:10.55pt;width:414.35pt;height:230.4pt;z-index:251658240" coordsize="52620,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">
                <v:line id="Straight Connector 207" o:spid="_x0000_s1062" style="position:absolute;visibility:visible;mso-wrap-style:square" from="7810,3238" to="7810,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 id="Diamond 211" o:spid="_x0000_s1063" type="#_x0000_t4" style="position:absolute;left:30384;top:4953;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ylMUA&#10;AADcAAAADwAAAGRycy9kb3ducmV2LnhtbESPUWvCMBSF34X9h3AF32ZacWN0RpHCYDBkTGXPl+ba&#10;ZjY3XZK11V+/DAY+Hs453+GsNqNtRU8+GMcK8nkGgrhy2nCt4Hh4uX8CESKyxtYxKbhQgM36brLC&#10;QruBP6jfx1okCIcCFTQxdoWUoWrIYpi7jjh5J+ctxiR9LbXHIcFtKxdZ9igtGk4LDXZUNlSd9z9W&#10;weCvy3L5UFK7M29fw/vn6ftseqVm03H7DCLSGG/h//arVrDI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HKUxQAAANwAAAAPAAAAAAAAAAAAAAAAAJgCAABkcnMv&#10;ZG93bnJldi54bWxQSwUGAAAAAAQABAD1AAAAigMAAAAA&#10;" fillcolor="#4f81bd" stroked="f" strokeweight="2pt"/>
                <v:shape id="Diamond 213" o:spid="_x0000_s1064" type="#_x0000_t4" style="position:absolute;left:12858;top:11906;width:1170;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JeMUA&#10;AADcAAAADwAAAGRycy9kb3ducmV2LnhtbESPUUvDMBSF3wf+h3AF37a0c8rolhUpCIKIbIrPl+au&#10;jWtuahLb6q83A2GPh3POdzjbcrKdGMgH41hBvshAENdOG24UvL89ztcgQkTW2DkmBT8UoNxdzbZY&#10;aDfynoZDbESCcChQQRtjX0gZ6pYshoXriZN3dN5iTNI3UnscE9x2cpll99Ki4bTQYk9VS/Xp8G0V&#10;jP53Va3uKupezPPn+Ppx/DqZQamb6+lhAyLSFC/h//aTVrDMb+F8Jh0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kl4xQAAANwAAAAPAAAAAAAAAAAAAAAAAJgCAABkcnMv&#10;ZG93bnJldi54bWxQSwUGAAAAAAQABAD1AAAAigMAAAAA&#10;" fillcolor="#4f81bd" stroked="f" strokeweight="2pt"/>
                <v:shape id="Diamond 214" o:spid="_x0000_s1065" type="#_x0000_t4" style="position:absolute;left:27241;top:6096;width:1169;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RDMUA&#10;AADcAAAADwAAAGRycy9kb3ducmV2LnhtbESPUWvCMBSF34X9h3AF32aqdGN0RpHCYDBkTGXPl+ba&#10;ZjY3XZK11V+/DAY+Hs453+GsNqNtRU8+GMcKFvMMBHHltOFawfHwcv8EIkRkja1jUnChAJv13WSF&#10;hXYDf1C/j7VIEA4FKmhi7AopQ9WQxTB3HXHyTs5bjEn6WmqPQ4LbVi6z7FFaNJwWGuyobKg673+s&#10;gsFf8zJ/KKndmbev4f3z9H02vVKz6bh9BhFpjLfwf/tVK1gucv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9EMxQAAANwAAAAPAAAAAAAAAAAAAAAAAJgCAABkcnMv&#10;ZG93bnJldi54bWxQSwUGAAAAAAQABAD1AAAAigMAAAAA&#10;" fillcolor="#4f81bd" stroked="f" strokeweight="2pt"/>
                <v:shape id="Diamond 215" o:spid="_x0000_s1066" type="#_x0000_t4" style="position:absolute;left:27146;top:8477;width:1273;height:1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0l8UA&#10;AADcAAAADwAAAGRycy9kb3ducmV2LnhtbESPUWvCMBSF3wf7D+EOfJupomN0RpHCQBAZ07HnS3Nt&#10;o81Nl8S27tcvgrDHwznnO5zFarCN6MgH41jBZJyBIC6dNlwp+Dq8P7+CCBFZY+OYFFwpwGr5+LDA&#10;XLueP6nbx0okCIccFdQxtrmUoazJYhi7ljh5R+ctxiR9JbXHPsFtI6dZ9iItGk4LNbZU1FSe9xer&#10;oPe/s2I2L6jZme2p//g+/pxNp9ToaVi/gYg0xP/wvb3RCqaTO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3SXxQAAANwAAAAPAAAAAAAAAAAAAAAAAJgCAABkcnMv&#10;ZG93bnJldi54bWxQSwUGAAAAAAQABAD1AAAAigMAAAAA&#10;" fillcolor="#4f81bd" stroked="f" strokeweight="2pt"/>
                <v:shape id="Diamond 216" o:spid="_x0000_s1067" type="#_x0000_t4" style="position:absolute;left:19431;top:7048;width:1169;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q4MUA&#10;AADcAAAADwAAAGRycy9kb3ducmV2LnhtbESPUWvCMBSF3wf7D+EOfJupojI6o0hhIIiM6djzpbm2&#10;0eamS2Jb9+vNYLDHwznnO5zlerCN6MgH41jBZJyBIC6dNlwp+Dy+Pb+ACBFZY+OYFNwowHr1+LDE&#10;XLueP6g7xEokCIccFdQxtrmUoazJYhi7ljh5J+ctxiR9JbXHPsFtI6dZtpAWDaeFGlsqaiovh6tV&#10;0PufWTGbF9Tsze7cv3+dvi+mU2r0NGxeQUQa4n/4r73VCqaTB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ergxQAAANwAAAAPAAAAAAAAAAAAAAAAAJgCAABkcnMv&#10;ZG93bnJldi54bWxQSwUGAAAAAAQABAD1AAAAigMAAAAA&#10;" fillcolor="#4f81bd" stroked="f" strokeweight="2pt"/>
                <v:shape id="Diamond 218" o:spid="_x0000_s1068" type="#_x0000_t4" style="position:absolute;left:28384;top:2381;width:1169;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bCcIA&#10;AADcAAAADwAAAGRycy9kb3ducmV2LnhtbERPXWvCMBR9H/gfwhX2NlPFDalGkcJAGDKm4vOlubbR&#10;5qZLYlv365eHwR4P53u1GWwjOvLBOFYwnWQgiEunDVcKTsf3lwWIEJE1No5JwYMCbNajpxXm2vX8&#10;Rd0hViKFcMhRQR1jm0sZyposholriRN3cd5iTNBXUnvsU7ht5CzL3qRFw6mhxpaKmsrb4W4V9P5n&#10;XsxfC2r25uPaf54v3zfTKfU8HrZLEJGG+C/+c++0gtk0rU1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tsJwgAAANwAAAAPAAAAAAAAAAAAAAAAAJgCAABkcnMvZG93&#10;bnJldi54bWxQSwUGAAAAAAQABAD1AAAAhwMAAAAA&#10;" fillcolor="#4f81bd" stroked="f" strokeweight="2pt"/>
                <v:shape id="Diamond 220" o:spid="_x0000_s1069" type="#_x0000_t4" style="position:absolute;left:24765;top:5715;width:1169;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dssIA&#10;AADcAAAADwAAAGRycy9kb3ducmV2LnhtbERPXWvCMBR9H/gfwhV8m+mKDumMMgrCQMaYis+X5tpm&#10;Njc1ydpuv948DPZ4ON/r7Whb0ZMPxrGCp3kGgrhy2nCt4HTcPa5AhIissXVMCn4owHYzeVhjod3A&#10;n9QfYi1SCIcCFTQxdoWUoWrIYpi7jjhxF+ctxgR9LbXHIYXbVuZZ9iwtGk4NDXZUNlRdD99WweB/&#10;F+ViWVL7bvZfw8f5cruaXqnZdHx9ARFpjP/iP/ebVpDnaX46k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B2ywgAAANwAAAAPAAAAAAAAAAAAAAAAAJgCAABkcnMvZG93&#10;bnJldi54bWxQSwUGAAAAAAQABAD1AAAAhwMAAAAA&#10;" fillcolor="#4f81bd" stroked="f" strokeweight="2pt"/>
                <v:shape id="Isosceles Triangle 223" o:spid="_x0000_s1070" type="#_x0000_t5" style="position:absolute;left:10953;top:18859;width:1355;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EMQA&#10;AADcAAAADwAAAGRycy9kb3ducmV2LnhtbESPQWvCQBSE7wX/w/IEb3VjhLZEVxFBFEohTT14fOw+&#10;s8Hs25BdTfrvu4VCj8PMfMOst6NrxYP60HhWsJhnIIi1Nw3XCs5fh+c3ECEiG2w9k4JvCrDdTJ7W&#10;WBg/8Cc9qliLBOFQoAIbY1dIGbQlh2HuO+LkXX3vMCbZ19L0OCS4a2WeZS/SYcNpwWJHe0v6Vt2d&#10;gstHpXcXbcvqPTNlOYTl6+nISs2m424FItIY/8N/7ZNRkOd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6xDEAAAA3AAAAA8AAAAAAAAAAAAAAAAAmAIAAGRycy9k&#10;b3ducmV2LnhtbFBLBQYAAAAABAAEAPUAAACJAwAAAAA=&#10;" fillcolor="#c0504d" stroked="f" strokeweight="2pt"/>
                <v:shape id="Isosceles Triangle 224" o:spid="_x0000_s1071" type="#_x0000_t5" style="position:absolute;left:14763;top:21907;width:1355;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zZMUA&#10;AADcAAAADwAAAGRycy9kb3ducmV2LnhtbESPQWvCQBSE74L/YXmF3nTTWFqJriJCUShCmvbg8bH7&#10;zAazb0N2a9J/3y0IPQ4z8w2z3o6uFTfqQ+NZwdM8A0GsvWm4VvD1+TZbgggR2WDrmRT8UIDtZjpZ&#10;Y2H8wB90q2ItEoRDgQpsjF0hZdCWHIa574iTd/G9w5hkX0vT45DgrpV5lr1Ihw2nBYsd7S3pa/Xt&#10;FJxPld6dtS2r98yU5RAWr8cDK/X4MO5WICKN8T98bx+Ngjx/hr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nNkxQAAANwAAAAPAAAAAAAAAAAAAAAAAJgCAABkcnMv&#10;ZG93bnJldi54bWxQSwUGAAAAAAQABAD1AAAAigMAAAAA&#10;" fillcolor="#c0504d" stroked="f" strokeweight="2pt"/>
                <v:shape id="Isosceles Triangle 226" o:spid="_x0000_s1072" type="#_x0000_t5" style="position:absolute;left:27813;top:13716;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IiMQA&#10;AADcAAAADwAAAGRycy9kb3ducmV2LnhtbESPQWvCQBSE7wX/w/KE3urGCLZEVxGhKEghTT14fOw+&#10;s8Hs25DdmvTfu4VCj8PMfMOst6NrxZ360HhWMJ9lIIi1Nw3XCs5f7y9vIEJENth6JgU/FGC7mTyt&#10;sTB+4E+6V7EWCcKhQAU2xq6QMmhLDsPMd8TJu/reYUyyr6XpcUhw18o8y5bSYcNpwWJHe0v6Vn07&#10;BZePSu8u2pbVKTNlOYTF6/HASj1Px90KRKQx/of/2kejIM+X8HsmH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SIjEAAAA3AAAAA8AAAAAAAAAAAAAAAAAmAIAAGRycy9k&#10;b3ducmV2LnhtbFBLBQYAAAAABAAEAPUAAACJAwAAAAA=&#10;" fillcolor="#c0504d" stroked="f" strokeweight="2pt"/>
                <v:shape id="Isosceles Triangle 227" o:spid="_x0000_s1073" type="#_x0000_t5" style="position:absolute;left:15430;top:18764;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tE8QA&#10;AADcAAAADwAAAGRycy9kb3ducmV2LnhtbESPQWvCQBSE7wX/w/KE3urGCLVEVxGhKEghTT14fOw+&#10;s8Hs25DdmvTfu4VCj8PMfMOst6NrxZ360HhWMJ9lIIi1Nw3XCs5f7y9vIEJENth6JgU/FGC7mTyt&#10;sTB+4E+6V7EWCcKhQAU2xq6QMmhLDsPMd8TJu/reYUyyr6XpcUhw18o8y16lw4bTgsWO9pb0rfp2&#10;Ci4fld5dtC2rU2bKcgiL5fHASj1Px90KRKQx/of/2kejIM+X8HsmH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7RPEAAAA3AAAAA8AAAAAAAAAAAAAAAAAmAIAAGRycy9k&#10;b3ducmV2LnhtbFBLBQYAAAAABAAEAPUAAACJAwAAAAA=&#10;" fillcolor="#c0504d" stroked="f" strokeweight="2pt"/>
                <v:shape id="Isosceles Triangle 228" o:spid="_x0000_s1074" type="#_x0000_t5" style="position:absolute;left:17335;top:15049;width:1354;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5YcEA&#10;AADcAAAADwAAAGRycy9kb3ducmV2LnhtbERPz2vCMBS+D/wfwhN2m6kVNqlGEUEUxqCrHjw+kmdT&#10;bF5KE2333y+HwY4f3+/1dnSteFIfGs8K5rMMBLH2puFaweV8eFuCCBHZYOuZFPxQgO1m8rLGwviB&#10;v+lZxVqkEA4FKrAxdoWUQVtyGGa+I07czfcOY4J9LU2PQwp3rcyz7F06bDg1WOxob0nfq4dTcP2q&#10;9O6qbVl9ZqYsh7D4OB1ZqdfpuFuBiDTGf/Gf+2QU5Hl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HBAAAA3AAAAA8AAAAAAAAAAAAAAAAAmAIAAGRycy9kb3du&#10;cmV2LnhtbFBLBQYAAAAABAAEAPUAAACGAwAAAAA=&#10;" fillcolor="#c0504d" stroked="f" strokeweight="2pt"/>
                <v:shape id="Isosceles Triangle 229" o:spid="_x0000_s1075" type="#_x0000_t5" style="position:absolute;left:18764;top:17430;width:1354;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c+sUA&#10;AADcAAAADwAAAGRycy9kb3ducmV2LnhtbESPQWvCQBSE74L/YXmF3nTTCG2NriJCUShCmvbg8bH7&#10;zAazb0N2a9J/3y0IPQ4z8w2z3o6uFTfqQ+NZwdM8A0GsvWm4VvD1+TZ7BREissHWMyn4oQDbzXSy&#10;xsL4gT/oVsVaJAiHAhXYGLtCyqAtOQxz3xEn7+J7hzHJvpamxyHBXSvzLHuWDhtOCxY72lvS1+rb&#10;KTifKr07a1tW75kpyyEsXo4HVurxYdytQEQa43/43j4aBXm+hL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9z6xQAAANwAAAAPAAAAAAAAAAAAAAAAAJgCAABkcnMv&#10;ZG93bnJldi54bWxQSwUGAAAAAAQABAD1AAAAigMAAAAA&#10;" fillcolor="#c0504d" stroked="f" strokeweight="2pt"/>
                <v:line id="Straight Connector 234" o:spid="_x0000_s1076" style="position:absolute;flip:x;visibility:visible;mso-wrap-style:square" from="10953,3905" to="32429,1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Straight Connector 235" o:spid="_x0000_s1077" style="position:absolute;flip:x;visibility:visible;mso-wrap-style:square" from="12001,12573" to="33477,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shape id="Text Box 2" o:spid="_x0000_s1078" type="#_x0000_t202" style="position:absolute;left:34099;top:2857;width:1852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C41978" w:rsidRDefault="00C41978" w:rsidP="004C4F3D">
                        <w:r>
                          <w:t>High ability</w:t>
                        </w:r>
                      </w:p>
                    </w:txbxContent>
                  </v:textbox>
                </v:shape>
                <v:line id="Straight Connector 236" o:spid="_x0000_s1079" style="position:absolute;flip:x;visibility:visible;mso-wrap-style:square" from="12954,2667" to="31331,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M9cUAAADcAAAADwAAAGRycy9kb3ducmV2LnhtbESPQWvCQBSE70L/w/IK3nSTKGlJs5FW&#10;EaXmUtveH9nXJJh9G7Krpv++WxA8DjPzDZOvRtOJCw2utawgnkcgiCurW64VfH1uZ88gnEfW2Fkm&#10;Bb/kYFU8THLMtL3yB12OvhYBwi5DBY33fSalqxoy6Oa2Jw7ejx0M+iCHWuoBrwFuOplEUSoNthwW&#10;Guxp3VB1Op6NgrJ8q052PKS7ffnUJsv3eMPxt1LTx/H1BYSn0d/Dt/ZeK0gWKfyfC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mM9cUAAADcAAAADwAAAAAAAAAA&#10;AAAAAAChAgAAZHJzL2Rvd25yZXYueG1sUEsFBgAAAAAEAAQA+QAAAJMDAAAAAA==&#10;">
                  <v:stroke dashstyle="longDash"/>
                </v:line>
                <v:shape id="Text Box 2" o:spid="_x0000_s1080" type="#_x0000_t202" style="position:absolute;left:34004;width:1286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o1sEA&#10;AADcAAAADwAAAGRycy9kb3ducmV2LnhtbERPyW7CMBC9I/EP1lTqBREHyhowqK1UlGsCHzDEk0WN&#10;x1HskvD39aFSj09vP55H04oH9a6xrGARxSCIC6sbrhTcrl/zHQjnkTW2lknBkxycT9PJERNtB87o&#10;kftKhBB2CSqove8SKV1Rk0EX2Y44cKXtDfoA+0rqHocQblq5jOONNNhwaKixo8+aiu/8xygo02G2&#10;3g/3i79ts9XmA5vt3T6Ven0Z3w8gPI3+X/znTrWC5Vt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6NbBAAAA3AAAAA8AAAAAAAAAAAAAAAAAmAIAAGRycy9kb3du&#10;cmV2LnhtbFBLBQYAAAAABAAEAPUAAACGAwAAAAA=&#10;" stroked="f">
                  <v:textbox>
                    <w:txbxContent>
                      <w:p w:rsidR="00C41978" w:rsidRDefault="00C41978" w:rsidP="004C4F3D">
                        <w:r>
                          <w:t>Estimated returns</w:t>
                        </w:r>
                      </w:p>
                    </w:txbxContent>
                  </v:textbox>
                </v:shape>
                <v:shape id="Text Box 2" o:spid="_x0000_s1081" type="#_x0000_t202" style="position:absolute;left:34290;top:10668;width:1286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C41978" w:rsidRDefault="00C41978" w:rsidP="004C4F3D">
                        <w:r>
                          <w:t xml:space="preserve">Low ability </w:t>
                        </w:r>
                      </w:p>
                    </w:txbxContent>
                  </v:textbox>
                </v:shape>
                <v:shape id="Text Box 2" o:spid="_x0000_s1082" type="#_x0000_t202" style="position:absolute;left:34004;top:26289;width:1286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C41978" w:rsidRDefault="00C41978" w:rsidP="004C4F3D">
                        <w:r>
                          <w:t xml:space="preserve">Education </w:t>
                        </w:r>
                      </w:p>
                    </w:txbxContent>
                  </v:textbox>
                </v:shape>
                <v:shape id="Text Box 2" o:spid="_x0000_s1083" type="#_x0000_t202" style="position:absolute;top:3619;width:688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C41978" w:rsidRDefault="00C41978" w:rsidP="004C4F3D">
                        <w:r>
                          <w:t xml:space="preserve">Wages </w:t>
                        </w:r>
                      </w:p>
                    </w:txbxContent>
                  </v:textbox>
                </v:shape>
                <v:line id="Straight Connector 208" o:spid="_x0000_s1084" style="position:absolute;flip:x;visibility:visible;mso-wrap-style:square" from="7810,25908" to="42764,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group>
            </w:pict>
          </mc:Fallback>
        </mc:AlternateContent>
      </w:r>
    </w:p>
    <w:p w:rsidR="00DC47CA" w:rsidRDefault="00DC47CA"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Default="00234B82" w:rsidP="00DC47CA">
      <w:pPr>
        <w:tabs>
          <w:tab w:val="left" w:pos="7602"/>
        </w:tabs>
        <w:rPr>
          <w:rFonts w:ascii="Times New Roman" w:hAnsi="Times New Roman"/>
          <w:sz w:val="24"/>
          <w:szCs w:val="24"/>
        </w:rPr>
      </w:pPr>
    </w:p>
    <w:p w:rsidR="00234B82" w:rsidRPr="00234B82" w:rsidRDefault="00234B82" w:rsidP="00234B82">
      <w:pPr>
        <w:pStyle w:val="ListParagraph"/>
        <w:numPr>
          <w:ilvl w:val="0"/>
          <w:numId w:val="2"/>
        </w:numPr>
        <w:tabs>
          <w:tab w:val="left" w:pos="7602"/>
        </w:tabs>
        <w:jc w:val="center"/>
        <w:rPr>
          <w:rFonts w:ascii="Times New Roman" w:hAnsi="Times New Roman"/>
          <w:sz w:val="24"/>
          <w:szCs w:val="24"/>
        </w:rPr>
      </w:pPr>
      <w:r>
        <w:rPr>
          <w:rFonts w:ascii="Times New Roman" w:hAnsi="Times New Roman"/>
          <w:sz w:val="24"/>
          <w:szCs w:val="24"/>
        </w:rPr>
        <w:t>Estimated returns when education is correlated to unobserved ability</w:t>
      </w:r>
    </w:p>
    <w:p w:rsidR="00234B82" w:rsidRPr="00DC47CA" w:rsidRDefault="00234B82" w:rsidP="00DC47CA">
      <w:pPr>
        <w:tabs>
          <w:tab w:val="left" w:pos="7602"/>
        </w:tabs>
        <w:rPr>
          <w:rFonts w:ascii="Times New Roman" w:hAnsi="Times New Roman"/>
          <w:sz w:val="24"/>
          <w:szCs w:val="24"/>
        </w:rPr>
      </w:pPr>
    </w:p>
    <w:sectPr w:rsidR="00234B82" w:rsidRPr="00DC47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C0" w:rsidRDefault="004E06C0" w:rsidP="005E7790">
      <w:pPr>
        <w:spacing w:after="0" w:line="240" w:lineRule="auto"/>
      </w:pPr>
      <w:r>
        <w:separator/>
      </w:r>
    </w:p>
  </w:endnote>
  <w:endnote w:type="continuationSeparator" w:id="0">
    <w:p w:rsidR="004E06C0" w:rsidRDefault="004E06C0" w:rsidP="005E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C0" w:rsidRDefault="004E06C0" w:rsidP="005E7790">
      <w:pPr>
        <w:spacing w:after="0" w:line="240" w:lineRule="auto"/>
      </w:pPr>
      <w:r>
        <w:separator/>
      </w:r>
    </w:p>
  </w:footnote>
  <w:footnote w:type="continuationSeparator" w:id="0">
    <w:p w:rsidR="004E06C0" w:rsidRDefault="004E06C0" w:rsidP="005E7790">
      <w:pPr>
        <w:spacing w:after="0" w:line="240" w:lineRule="auto"/>
      </w:pPr>
      <w:r>
        <w:continuationSeparator/>
      </w:r>
    </w:p>
  </w:footnote>
  <w:footnote w:id="1">
    <w:p w:rsidR="00C41978" w:rsidRDefault="00C41978">
      <w:pPr>
        <w:pStyle w:val="FootnoteText"/>
      </w:pPr>
      <w:r>
        <w:rPr>
          <w:rStyle w:val="FootnoteReference"/>
        </w:rPr>
        <w:footnoteRef/>
      </w:r>
      <w:r>
        <w:t xml:space="preserve"> See, for example, Becker (1962), Schultz (1961) and Mincer (1958, 1970).</w:t>
      </w:r>
    </w:p>
  </w:footnote>
  <w:footnote w:id="2">
    <w:p w:rsidR="00C41978" w:rsidRDefault="00C41978" w:rsidP="006C2756">
      <w:pPr>
        <w:pStyle w:val="FootnoteText"/>
      </w:pPr>
      <w:r>
        <w:rPr>
          <w:rStyle w:val="FootnoteReference"/>
        </w:rPr>
        <w:footnoteRef/>
      </w:r>
      <w:r>
        <w:t xml:space="preserve"> The International Standard Classification of Education (ISCED) had, in its 1997 version used in this chapter, 7 levels of educational attainment. Level 3 is, broadly speaking, the completion of an upper secondary education. For example, in the UK the completion of GCSEs or A-Levels would place a student at level 3 – the latter is given a higher status within the level due to the progression opportunities it provides to higher study. Level 4 qualifications are post-compulsory but pre-tertiary, such as the final stages of the German vocational education Dual system. Individuals below level 3 will typically not have completed compulsory education in most developed countries. Level 5 corresponds to the first stage of tertiary education (such as a bachelor’s degree or a higher vocational or professional qualification), while level 6 covers higher degrees such as Master’s or PhD qualifications.</w:t>
      </w:r>
    </w:p>
  </w:footnote>
  <w:footnote w:id="3">
    <w:p w:rsidR="00C41978" w:rsidRDefault="00C41978">
      <w:pPr>
        <w:pStyle w:val="FootnoteText"/>
      </w:pPr>
      <w:r>
        <w:rPr>
          <w:rStyle w:val="FootnoteReference"/>
        </w:rPr>
        <w:footnoteRef/>
      </w:r>
      <w:r>
        <w:t xml:space="preserve"> ISCED 3 covers all upper secondary education. Level 3A are general education programmes (rather than vocational programmes) which allow access into tertiary education. 3B is the equivalent for vocational programmes, whilst 3C covers shorter programmes at this level that do not provide access to higher education.</w:t>
      </w:r>
    </w:p>
  </w:footnote>
  <w:footnote w:id="4">
    <w:p w:rsidR="00C41978" w:rsidRDefault="00C41978">
      <w:pPr>
        <w:pStyle w:val="FootnoteText"/>
      </w:pPr>
      <w:r>
        <w:rPr>
          <w:rStyle w:val="FootnoteReference"/>
        </w:rPr>
        <w:footnoteRef/>
      </w:r>
      <w:r>
        <w:t xml:space="preserve"> There are a number of channels for this effect to take place, from the union effects on productivity for less educated workers through demands for more training, to solidaristic bargaining principles which pursue more egalitarian outcomes across covered workers.</w:t>
      </w:r>
    </w:p>
  </w:footnote>
  <w:footnote w:id="5">
    <w:p w:rsidR="00C41978" w:rsidRDefault="00C41978">
      <w:pPr>
        <w:pStyle w:val="FootnoteText"/>
      </w:pPr>
      <w:r>
        <w:rPr>
          <w:rStyle w:val="FootnoteReference"/>
        </w:rPr>
        <w:footnoteRef/>
      </w:r>
      <w:r>
        <w:t xml:space="preserve"> The natural logarithm of wage is used as the dependent variable as it fits the data better for a linear function (i.e. a function that has the form  Y = a + bX + cZ, where Y is the dependent variable and X and Z are explanatory variables). When log wages are used, the regression coefficients (b and c) approximately capture percentage increases rather than absolute increases in the dependent variable for a change in X and Z respectively.</w:t>
      </w:r>
    </w:p>
  </w:footnote>
  <w:footnote w:id="6">
    <w:p w:rsidR="00C41978" w:rsidRDefault="00C41978">
      <w:pPr>
        <w:pStyle w:val="FootnoteText"/>
      </w:pPr>
      <w:r>
        <w:rPr>
          <w:rStyle w:val="FootnoteReference"/>
        </w:rPr>
        <w:footnoteRef/>
      </w:r>
      <w:r>
        <w:t xml:space="preserve"> Although if ethnicity was linked to migration it might not might not be – people may decide to migrate or not based on their expectation of the wages they will receive should they move to that country for work, meaning that those who expect higher wages - perhaps because they possess some skills in limited supply in the destination country – would be, on average, more likely to move. This would mean that the usual negative effect of ethnicity on wages might be understated.</w:t>
      </w:r>
    </w:p>
  </w:footnote>
  <w:footnote w:id="7">
    <w:p w:rsidR="00C41978" w:rsidRDefault="00C41978" w:rsidP="00182468">
      <w:pPr>
        <w:pStyle w:val="FootnoteText"/>
      </w:pPr>
      <w:r>
        <w:rPr>
          <w:rStyle w:val="FootnoteReference"/>
        </w:rPr>
        <w:footnoteRef/>
      </w:r>
      <w:r>
        <w:t xml:space="preserve"> For example, that forgone earnings are the only cost of spending additional time in education and training, and that individuals choose their education and training optimally so that the benefits of further human capital investment at that point are just equal to the cost of doing so. </w:t>
      </w:r>
    </w:p>
  </w:footnote>
  <w:footnote w:id="8">
    <w:p w:rsidR="00C41978" w:rsidRDefault="00C41978" w:rsidP="00182468">
      <w:pPr>
        <w:pStyle w:val="FootnoteText"/>
      </w:pPr>
      <w:r>
        <w:rPr>
          <w:rStyle w:val="FootnoteReference"/>
        </w:rPr>
        <w:footnoteRef/>
      </w:r>
      <w:r>
        <w:t xml:space="preserve"> We talk about expected net present value because there is some uncertainty around the realisation of the size of the benefits and costs, and the time period over which they will be enjoyed and incurred. For simplicity, these can be thought of as some form of average experience of an individual making the decision to invest in their skills.</w:t>
      </w:r>
    </w:p>
  </w:footnote>
  <w:footnote w:id="9">
    <w:p w:rsidR="00C41978" w:rsidRDefault="00C41978" w:rsidP="00182468">
      <w:pPr>
        <w:pStyle w:val="FootnoteText"/>
      </w:pPr>
      <w:r>
        <w:rPr>
          <w:rStyle w:val="FootnoteReference"/>
        </w:rPr>
        <w:footnoteRef/>
      </w:r>
      <w:r>
        <w:t xml:space="preserve"> This is from a mathematical result called the sum of an infinite geometric series. This is a finite series (as people do not continue to earn for ever) so the approximation is acceptable assuming T is sufficiently large that the discount factor has become close to zero. For example, if r = 10%, the discount factor for t=40 is 0.02, and beyond that it becomes increasingly small.</w:t>
      </w:r>
    </w:p>
  </w:footnote>
  <w:footnote w:id="10">
    <w:p w:rsidR="00C41978" w:rsidRDefault="00C41978">
      <w:pPr>
        <w:pStyle w:val="FootnoteText"/>
      </w:pPr>
      <w:r>
        <w:rPr>
          <w:rStyle w:val="FootnoteReference"/>
        </w:rPr>
        <w:footnoteRef/>
      </w:r>
      <w:r>
        <w:t xml:space="preserve"> </w:t>
      </w:r>
      <w:r w:rsidR="00306BA3">
        <w:t>As scores are standardised in each country, t</w:t>
      </w:r>
      <w:r>
        <w:t>hese wage premia can be interpreted as the change in earnings from increasing skill by one standard deviation. To illustrate the size of this marginal effect, if skill was normally distributed, a one standard deviation increase is equivalent to going from the median to the 84</w:t>
      </w:r>
      <w:r w:rsidRPr="006F32C3">
        <w:rPr>
          <w:vertAlign w:val="superscript"/>
        </w:rPr>
        <w:t>th</w:t>
      </w:r>
      <w:r>
        <w:t xml:space="preserve"> percentile of the distribution, or from the 74</w:t>
      </w:r>
      <w:r w:rsidRPr="00441067">
        <w:rPr>
          <w:vertAlign w:val="superscript"/>
        </w:rPr>
        <w:t>th</w:t>
      </w:r>
      <w:r>
        <w:t xml:space="preserve"> percentile to the 95</w:t>
      </w:r>
      <w:r w:rsidRPr="00441067">
        <w:rPr>
          <w:vertAlign w:val="superscript"/>
        </w:rPr>
        <w:t>th</w:t>
      </w:r>
      <w:r>
        <w:t xml:space="preserve">. </w:t>
      </w:r>
    </w:p>
  </w:footnote>
  <w:footnote w:id="11">
    <w:p w:rsidR="00C41978" w:rsidRDefault="00C41978" w:rsidP="00CC0B08">
      <w:pPr>
        <w:pStyle w:val="FootnoteText"/>
      </w:pPr>
      <w:r>
        <w:rPr>
          <w:rStyle w:val="FootnoteReference"/>
        </w:rPr>
        <w:footnoteRef/>
      </w:r>
      <w:r>
        <w:t xml:space="preserve"> Ability bias is a specific example of omitted variable bias</w:t>
      </w:r>
      <w:r w:rsidR="009E4FC3">
        <w:t xml:space="preserve">. </w:t>
      </w:r>
      <w:r w:rsidR="00CC0B08">
        <w:t>A</w:t>
      </w:r>
      <w:r w:rsidR="009E4FC3">
        <w:t xml:space="preserve"> similar problem is created </w:t>
      </w:r>
      <w:r w:rsidR="00CC0B08">
        <w:t xml:space="preserve">when looking at the effect of having a particular level of education </w:t>
      </w:r>
      <w:r w:rsidR="009E4FC3" w:rsidRPr="009E4FC3">
        <w:t>within a particular occupation</w:t>
      </w:r>
      <w:r w:rsidR="00CC0B08">
        <w:t xml:space="preserve">. In this case, however, there is an selection bias which goes in the opposite direction to the more general ability bias discussed before. For any given occupation that requires some skill, </w:t>
      </w:r>
      <w:r w:rsidR="009E4FC3" w:rsidRPr="009E4FC3">
        <w:t>those that have less observed education and training are likely to have a more natural ability</w:t>
      </w:r>
      <w:r w:rsidR="00CC0B08">
        <w:t xml:space="preserve"> in that specific job. </w:t>
      </w:r>
      <w:r w:rsidR="009E4FC3" w:rsidRPr="009E4FC3">
        <w:t>If they had neither training nor natural ability, they would be very unlikely to be able to perform the job, at least not for very long. For those with more education and training, we are likely to see a range of personal characteristics. Some might be both well trained and have a range of personal characteristics that help with the job – these people are probably the most productive or capable workers, and likely command the highest wage. Others might be using the skills they acquired to compensate for lower natural abilities. The end result is that when looking at people with more or less education and training within an occupation, we are not comparing like-for-like. This pushes down the estimated return on education below the true effect that would be found if we were able to compare two groups of otherwise identical individuals.</w:t>
      </w:r>
      <w:r w:rsidR="009E4FC3">
        <w:t>.</w:t>
      </w:r>
      <w:r>
        <w:t xml:space="preserve"> </w:t>
      </w:r>
    </w:p>
  </w:footnote>
  <w:footnote w:id="12">
    <w:p w:rsidR="00C41978" w:rsidRDefault="00C41978">
      <w:pPr>
        <w:pStyle w:val="FootnoteText"/>
      </w:pPr>
      <w:r>
        <w:rPr>
          <w:rStyle w:val="FootnoteReference"/>
        </w:rPr>
        <w:footnoteRef/>
      </w:r>
      <w:r>
        <w:t xml:space="preserve"> A more realistic model might suggest that matching particular types of individual to particular jobs is good for employers too, so that it is in their interest to find out individual abilities before hiring. </w:t>
      </w:r>
    </w:p>
  </w:footnote>
  <w:footnote w:id="13">
    <w:p w:rsidR="00C41978" w:rsidRDefault="00C41978" w:rsidP="00680C07">
      <w:pPr>
        <w:pStyle w:val="FootnoteText"/>
      </w:pPr>
      <w:r>
        <w:rPr>
          <w:rStyle w:val="FootnoteReference"/>
        </w:rPr>
        <w:footnoteRef/>
      </w:r>
      <w:r>
        <w:t xml:space="preserve"> Overeducation is meant here to mean people participating in education and training longer than is necessary to perform their job. This is sometimes conflated or confused with other phenomena. For example, a person may have more qualifications than is necessary to acquire a job given the criteria set out by the hiring firm, but their additional abilities and skills may be useful once hired. This obviously depends on the nature of the work. A second phenomenon is where high qualifications are required to even get an interview for a job opening, possibly because prospective employees use educational credentials to compete for jobs and employers formally recognise this to reduce the applicant pool, but where the job requires far fewer skills than candidates possess. This type of situation would fit with our definition of overeducation, although workers may not consider themselves overeducated given that their education was a requirement of the job.</w:t>
      </w:r>
    </w:p>
  </w:footnote>
  <w:footnote w:id="14">
    <w:p w:rsidR="00C41978" w:rsidRDefault="00C41978">
      <w:pPr>
        <w:pStyle w:val="FootnoteText"/>
      </w:pPr>
      <w:r>
        <w:rPr>
          <w:rStyle w:val="FootnoteReference"/>
        </w:rPr>
        <w:footnoteRef/>
      </w:r>
      <w:r>
        <w:t xml:space="preserve"> </w:t>
      </w:r>
      <w:r w:rsidRPr="004C3668">
        <w:t>For the researcher, the observed distribution might change because the group is becoming more heterogeneous in terms of pre-educatio</w:t>
      </w:r>
      <w:r>
        <w:t>n abilities but it should be noted that is less relevant for the individual concerned who presumably has some knowledge of their own pre-investment capabilities and considers returns from that starting point.</w:t>
      </w:r>
    </w:p>
  </w:footnote>
  <w:footnote w:id="15">
    <w:p w:rsidR="00C41978" w:rsidRDefault="00C41978">
      <w:pPr>
        <w:pStyle w:val="FootnoteText"/>
      </w:pPr>
      <w:r>
        <w:rPr>
          <w:rStyle w:val="FootnoteReference"/>
        </w:rPr>
        <w:footnoteRef/>
      </w:r>
      <w:r>
        <w:t xml:space="preserve"> The specific technique used here is called fixed effect regression.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46A"/>
    <w:multiLevelType w:val="hybridMultilevel"/>
    <w:tmpl w:val="0F404DE8"/>
    <w:lvl w:ilvl="0" w:tplc="F6221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B6E4D"/>
    <w:multiLevelType w:val="hybridMultilevel"/>
    <w:tmpl w:val="BB9A7384"/>
    <w:lvl w:ilvl="0" w:tplc="D780CD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865DF"/>
    <w:multiLevelType w:val="hybridMultilevel"/>
    <w:tmpl w:val="44C255B6"/>
    <w:lvl w:ilvl="0" w:tplc="D780CD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0C"/>
    <w:rsid w:val="00007C37"/>
    <w:rsid w:val="000124A6"/>
    <w:rsid w:val="00013896"/>
    <w:rsid w:val="00021157"/>
    <w:rsid w:val="00025E3D"/>
    <w:rsid w:val="000262CE"/>
    <w:rsid w:val="000325D6"/>
    <w:rsid w:val="00034704"/>
    <w:rsid w:val="00034F73"/>
    <w:rsid w:val="000354AE"/>
    <w:rsid w:val="0003696F"/>
    <w:rsid w:val="00041A71"/>
    <w:rsid w:val="00057B56"/>
    <w:rsid w:val="000611FA"/>
    <w:rsid w:val="000616F1"/>
    <w:rsid w:val="00071D22"/>
    <w:rsid w:val="0007719E"/>
    <w:rsid w:val="00095D0F"/>
    <w:rsid w:val="000A4DBB"/>
    <w:rsid w:val="000B12FD"/>
    <w:rsid w:val="000C0565"/>
    <w:rsid w:val="000C660F"/>
    <w:rsid w:val="000D6D3C"/>
    <w:rsid w:val="000E38CA"/>
    <w:rsid w:val="000E59F4"/>
    <w:rsid w:val="000F24E2"/>
    <w:rsid w:val="000F53F6"/>
    <w:rsid w:val="000F60AC"/>
    <w:rsid w:val="000F61F1"/>
    <w:rsid w:val="000F625D"/>
    <w:rsid w:val="00107994"/>
    <w:rsid w:val="00125D2A"/>
    <w:rsid w:val="00131F3A"/>
    <w:rsid w:val="00135B56"/>
    <w:rsid w:val="00135CAA"/>
    <w:rsid w:val="00137A99"/>
    <w:rsid w:val="00152871"/>
    <w:rsid w:val="00153EA4"/>
    <w:rsid w:val="00175860"/>
    <w:rsid w:val="0018086A"/>
    <w:rsid w:val="00182468"/>
    <w:rsid w:val="0019424A"/>
    <w:rsid w:val="001A6E56"/>
    <w:rsid w:val="001B1454"/>
    <w:rsid w:val="001B2828"/>
    <w:rsid w:val="001B4E78"/>
    <w:rsid w:val="001B5D14"/>
    <w:rsid w:val="001D01FC"/>
    <w:rsid w:val="001D1C0F"/>
    <w:rsid w:val="001D695E"/>
    <w:rsid w:val="001E0ED7"/>
    <w:rsid w:val="001F19E8"/>
    <w:rsid w:val="001F326A"/>
    <w:rsid w:val="001F5636"/>
    <w:rsid w:val="00201010"/>
    <w:rsid w:val="0021023F"/>
    <w:rsid w:val="0023083E"/>
    <w:rsid w:val="002317DC"/>
    <w:rsid w:val="00234B82"/>
    <w:rsid w:val="0024181B"/>
    <w:rsid w:val="00244C00"/>
    <w:rsid w:val="00254665"/>
    <w:rsid w:val="00255E09"/>
    <w:rsid w:val="0027426B"/>
    <w:rsid w:val="00297E63"/>
    <w:rsid w:val="002A45A4"/>
    <w:rsid w:val="002A6705"/>
    <w:rsid w:val="002B05C0"/>
    <w:rsid w:val="002B5129"/>
    <w:rsid w:val="002C1C98"/>
    <w:rsid w:val="002E53CA"/>
    <w:rsid w:val="002F3832"/>
    <w:rsid w:val="003012EB"/>
    <w:rsid w:val="0030140E"/>
    <w:rsid w:val="00306BA3"/>
    <w:rsid w:val="00313E2F"/>
    <w:rsid w:val="00333F8C"/>
    <w:rsid w:val="00356062"/>
    <w:rsid w:val="0038053F"/>
    <w:rsid w:val="00382670"/>
    <w:rsid w:val="00391B4C"/>
    <w:rsid w:val="00394D2C"/>
    <w:rsid w:val="003A41F2"/>
    <w:rsid w:val="003B7225"/>
    <w:rsid w:val="003E34E1"/>
    <w:rsid w:val="003F1E0D"/>
    <w:rsid w:val="004043A7"/>
    <w:rsid w:val="004112F6"/>
    <w:rsid w:val="00413AE9"/>
    <w:rsid w:val="0041557C"/>
    <w:rsid w:val="00421119"/>
    <w:rsid w:val="004407E5"/>
    <w:rsid w:val="00441067"/>
    <w:rsid w:val="004428F4"/>
    <w:rsid w:val="00444E9C"/>
    <w:rsid w:val="0044538C"/>
    <w:rsid w:val="0046721F"/>
    <w:rsid w:val="004676D3"/>
    <w:rsid w:val="0048221C"/>
    <w:rsid w:val="004854F8"/>
    <w:rsid w:val="00491FBF"/>
    <w:rsid w:val="00494364"/>
    <w:rsid w:val="004958C3"/>
    <w:rsid w:val="004B6AC0"/>
    <w:rsid w:val="004C3668"/>
    <w:rsid w:val="004C4F3D"/>
    <w:rsid w:val="004C52EE"/>
    <w:rsid w:val="004D0462"/>
    <w:rsid w:val="004D4760"/>
    <w:rsid w:val="004E06C0"/>
    <w:rsid w:val="005112EA"/>
    <w:rsid w:val="00511B5F"/>
    <w:rsid w:val="00536724"/>
    <w:rsid w:val="005369A5"/>
    <w:rsid w:val="00542360"/>
    <w:rsid w:val="00542447"/>
    <w:rsid w:val="00565B20"/>
    <w:rsid w:val="00567389"/>
    <w:rsid w:val="00570A3C"/>
    <w:rsid w:val="005901D6"/>
    <w:rsid w:val="005938E0"/>
    <w:rsid w:val="005A32F0"/>
    <w:rsid w:val="005A4E90"/>
    <w:rsid w:val="005A7287"/>
    <w:rsid w:val="005B344A"/>
    <w:rsid w:val="005B4940"/>
    <w:rsid w:val="005B51E5"/>
    <w:rsid w:val="005B7B2E"/>
    <w:rsid w:val="005C3501"/>
    <w:rsid w:val="005C5C37"/>
    <w:rsid w:val="005C5CC0"/>
    <w:rsid w:val="005D5FFA"/>
    <w:rsid w:val="005E1C2A"/>
    <w:rsid w:val="005E7790"/>
    <w:rsid w:val="005E7827"/>
    <w:rsid w:val="00625FA1"/>
    <w:rsid w:val="006303C9"/>
    <w:rsid w:val="006309E5"/>
    <w:rsid w:val="00640540"/>
    <w:rsid w:val="00647268"/>
    <w:rsid w:val="00661DC3"/>
    <w:rsid w:val="006713FB"/>
    <w:rsid w:val="00680C07"/>
    <w:rsid w:val="00682020"/>
    <w:rsid w:val="00693B19"/>
    <w:rsid w:val="006941AC"/>
    <w:rsid w:val="006B56DB"/>
    <w:rsid w:val="006C105A"/>
    <w:rsid w:val="006C2756"/>
    <w:rsid w:val="006C4BAA"/>
    <w:rsid w:val="006D6982"/>
    <w:rsid w:val="006E1345"/>
    <w:rsid w:val="006F32C3"/>
    <w:rsid w:val="00700449"/>
    <w:rsid w:val="007008D7"/>
    <w:rsid w:val="00706331"/>
    <w:rsid w:val="00714943"/>
    <w:rsid w:val="00727577"/>
    <w:rsid w:val="00731B15"/>
    <w:rsid w:val="00734E50"/>
    <w:rsid w:val="00737682"/>
    <w:rsid w:val="007468A1"/>
    <w:rsid w:val="0075318C"/>
    <w:rsid w:val="007779DF"/>
    <w:rsid w:val="00790944"/>
    <w:rsid w:val="00793A4A"/>
    <w:rsid w:val="007A2EC3"/>
    <w:rsid w:val="007A4A4F"/>
    <w:rsid w:val="007B2119"/>
    <w:rsid w:val="007B2487"/>
    <w:rsid w:val="007B2F1D"/>
    <w:rsid w:val="007B3894"/>
    <w:rsid w:val="007B4A3F"/>
    <w:rsid w:val="007C1401"/>
    <w:rsid w:val="007C19B1"/>
    <w:rsid w:val="007C2ABF"/>
    <w:rsid w:val="007C6B3A"/>
    <w:rsid w:val="007C7CA2"/>
    <w:rsid w:val="007D11C9"/>
    <w:rsid w:val="007D5CBE"/>
    <w:rsid w:val="007E013C"/>
    <w:rsid w:val="007E1C9D"/>
    <w:rsid w:val="007E4E6A"/>
    <w:rsid w:val="007E67B2"/>
    <w:rsid w:val="007E6F0C"/>
    <w:rsid w:val="007F087C"/>
    <w:rsid w:val="007F46AC"/>
    <w:rsid w:val="008043EC"/>
    <w:rsid w:val="0080648C"/>
    <w:rsid w:val="008163D3"/>
    <w:rsid w:val="0081745F"/>
    <w:rsid w:val="008224A0"/>
    <w:rsid w:val="00823450"/>
    <w:rsid w:val="008257F7"/>
    <w:rsid w:val="00836747"/>
    <w:rsid w:val="0084056F"/>
    <w:rsid w:val="008609DC"/>
    <w:rsid w:val="00862338"/>
    <w:rsid w:val="00867F8F"/>
    <w:rsid w:val="0087188F"/>
    <w:rsid w:val="00875004"/>
    <w:rsid w:val="00876C8C"/>
    <w:rsid w:val="00884BCA"/>
    <w:rsid w:val="00895640"/>
    <w:rsid w:val="008A77A7"/>
    <w:rsid w:val="008B259C"/>
    <w:rsid w:val="008B61C9"/>
    <w:rsid w:val="008C710B"/>
    <w:rsid w:val="008D3779"/>
    <w:rsid w:val="008D4AE5"/>
    <w:rsid w:val="00903270"/>
    <w:rsid w:val="00924000"/>
    <w:rsid w:val="009273D8"/>
    <w:rsid w:val="00927B61"/>
    <w:rsid w:val="00940760"/>
    <w:rsid w:val="00940855"/>
    <w:rsid w:val="0094086A"/>
    <w:rsid w:val="009428A4"/>
    <w:rsid w:val="00944E07"/>
    <w:rsid w:val="0094590A"/>
    <w:rsid w:val="00950955"/>
    <w:rsid w:val="009612C2"/>
    <w:rsid w:val="00964CAA"/>
    <w:rsid w:val="00965B15"/>
    <w:rsid w:val="00972EBC"/>
    <w:rsid w:val="00975758"/>
    <w:rsid w:val="009A65D4"/>
    <w:rsid w:val="009A786F"/>
    <w:rsid w:val="009A7996"/>
    <w:rsid w:val="009B06F6"/>
    <w:rsid w:val="009B661C"/>
    <w:rsid w:val="009C0F5A"/>
    <w:rsid w:val="009C38A3"/>
    <w:rsid w:val="009C5A8D"/>
    <w:rsid w:val="009D55AD"/>
    <w:rsid w:val="009E4FC3"/>
    <w:rsid w:val="009E5090"/>
    <w:rsid w:val="00A07BFE"/>
    <w:rsid w:val="00A2200A"/>
    <w:rsid w:val="00A23388"/>
    <w:rsid w:val="00A27F84"/>
    <w:rsid w:val="00A442D0"/>
    <w:rsid w:val="00A6024F"/>
    <w:rsid w:val="00A60910"/>
    <w:rsid w:val="00A71017"/>
    <w:rsid w:val="00A72D7E"/>
    <w:rsid w:val="00A77CDD"/>
    <w:rsid w:val="00A90BC9"/>
    <w:rsid w:val="00A922C4"/>
    <w:rsid w:val="00AA6478"/>
    <w:rsid w:val="00AA72A3"/>
    <w:rsid w:val="00AB050F"/>
    <w:rsid w:val="00AB2680"/>
    <w:rsid w:val="00AB4ACD"/>
    <w:rsid w:val="00AC1040"/>
    <w:rsid w:val="00AD4868"/>
    <w:rsid w:val="00B1493D"/>
    <w:rsid w:val="00B16FB7"/>
    <w:rsid w:val="00B20057"/>
    <w:rsid w:val="00B3290F"/>
    <w:rsid w:val="00B32E26"/>
    <w:rsid w:val="00B33807"/>
    <w:rsid w:val="00B429FE"/>
    <w:rsid w:val="00B554F4"/>
    <w:rsid w:val="00B60CB8"/>
    <w:rsid w:val="00B62A4B"/>
    <w:rsid w:val="00B63D96"/>
    <w:rsid w:val="00B65128"/>
    <w:rsid w:val="00B67682"/>
    <w:rsid w:val="00B75415"/>
    <w:rsid w:val="00B87DE9"/>
    <w:rsid w:val="00B97C64"/>
    <w:rsid w:val="00BA2A7A"/>
    <w:rsid w:val="00BA2F83"/>
    <w:rsid w:val="00BB6278"/>
    <w:rsid w:val="00BB627A"/>
    <w:rsid w:val="00BC0CF4"/>
    <w:rsid w:val="00BF22BD"/>
    <w:rsid w:val="00BF5F71"/>
    <w:rsid w:val="00BF6082"/>
    <w:rsid w:val="00C0498B"/>
    <w:rsid w:val="00C256E5"/>
    <w:rsid w:val="00C31800"/>
    <w:rsid w:val="00C364B8"/>
    <w:rsid w:val="00C41978"/>
    <w:rsid w:val="00C50CB2"/>
    <w:rsid w:val="00C62A42"/>
    <w:rsid w:val="00C64DEB"/>
    <w:rsid w:val="00C75CA8"/>
    <w:rsid w:val="00C808A8"/>
    <w:rsid w:val="00C80939"/>
    <w:rsid w:val="00C8305E"/>
    <w:rsid w:val="00C844CC"/>
    <w:rsid w:val="00C93995"/>
    <w:rsid w:val="00CA0E6A"/>
    <w:rsid w:val="00CB34AC"/>
    <w:rsid w:val="00CB3B76"/>
    <w:rsid w:val="00CC004F"/>
    <w:rsid w:val="00CC0B08"/>
    <w:rsid w:val="00CC1140"/>
    <w:rsid w:val="00CC6E8B"/>
    <w:rsid w:val="00CD6CD2"/>
    <w:rsid w:val="00CF4631"/>
    <w:rsid w:val="00D00D4C"/>
    <w:rsid w:val="00D02AD1"/>
    <w:rsid w:val="00D107E1"/>
    <w:rsid w:val="00D112E3"/>
    <w:rsid w:val="00D31859"/>
    <w:rsid w:val="00D35989"/>
    <w:rsid w:val="00D3723D"/>
    <w:rsid w:val="00D403D4"/>
    <w:rsid w:val="00D5077D"/>
    <w:rsid w:val="00D64C8E"/>
    <w:rsid w:val="00D70990"/>
    <w:rsid w:val="00D8326E"/>
    <w:rsid w:val="00D92E96"/>
    <w:rsid w:val="00D94FD1"/>
    <w:rsid w:val="00DA22CA"/>
    <w:rsid w:val="00DA5250"/>
    <w:rsid w:val="00DB109B"/>
    <w:rsid w:val="00DB261A"/>
    <w:rsid w:val="00DC47CA"/>
    <w:rsid w:val="00DC6384"/>
    <w:rsid w:val="00DC75DF"/>
    <w:rsid w:val="00DD3983"/>
    <w:rsid w:val="00DE0EF1"/>
    <w:rsid w:val="00DE10DC"/>
    <w:rsid w:val="00DE177C"/>
    <w:rsid w:val="00DE70E3"/>
    <w:rsid w:val="00DF7B3B"/>
    <w:rsid w:val="00E00398"/>
    <w:rsid w:val="00E024AD"/>
    <w:rsid w:val="00E04870"/>
    <w:rsid w:val="00E108C6"/>
    <w:rsid w:val="00E158EA"/>
    <w:rsid w:val="00E15C22"/>
    <w:rsid w:val="00E278C3"/>
    <w:rsid w:val="00E34DAD"/>
    <w:rsid w:val="00E44417"/>
    <w:rsid w:val="00E53DCE"/>
    <w:rsid w:val="00E5474C"/>
    <w:rsid w:val="00E6229F"/>
    <w:rsid w:val="00E649DE"/>
    <w:rsid w:val="00E6752E"/>
    <w:rsid w:val="00E74E13"/>
    <w:rsid w:val="00E75733"/>
    <w:rsid w:val="00E76F8B"/>
    <w:rsid w:val="00E90761"/>
    <w:rsid w:val="00E92398"/>
    <w:rsid w:val="00EA1D75"/>
    <w:rsid w:val="00EA5BDE"/>
    <w:rsid w:val="00EC0F71"/>
    <w:rsid w:val="00EC2EB6"/>
    <w:rsid w:val="00EF70CB"/>
    <w:rsid w:val="00F00285"/>
    <w:rsid w:val="00F03901"/>
    <w:rsid w:val="00F03BE8"/>
    <w:rsid w:val="00F12CDD"/>
    <w:rsid w:val="00F211AB"/>
    <w:rsid w:val="00F53B6D"/>
    <w:rsid w:val="00F65D76"/>
    <w:rsid w:val="00F7427F"/>
    <w:rsid w:val="00F812D3"/>
    <w:rsid w:val="00F81AF9"/>
    <w:rsid w:val="00F86ED8"/>
    <w:rsid w:val="00F9041B"/>
    <w:rsid w:val="00FA0FAD"/>
    <w:rsid w:val="00FA22AA"/>
    <w:rsid w:val="00FA7381"/>
    <w:rsid w:val="00FB1963"/>
    <w:rsid w:val="00FB44D9"/>
    <w:rsid w:val="00FC667C"/>
    <w:rsid w:val="00FF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5A79-6778-4D92-B8C2-B012FF3E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995"/>
    <w:rPr>
      <w:rFonts w:ascii="Tahoma" w:hAnsi="Tahoma" w:cs="Tahoma"/>
      <w:sz w:val="16"/>
      <w:szCs w:val="16"/>
    </w:rPr>
  </w:style>
  <w:style w:type="paragraph" w:styleId="FootnoteText">
    <w:name w:val="footnote text"/>
    <w:basedOn w:val="Normal"/>
    <w:link w:val="FootnoteTextChar"/>
    <w:uiPriority w:val="99"/>
    <w:unhideWhenUsed/>
    <w:rsid w:val="005E7790"/>
    <w:pPr>
      <w:spacing w:after="0" w:line="240" w:lineRule="auto"/>
    </w:pPr>
    <w:rPr>
      <w:sz w:val="20"/>
      <w:szCs w:val="20"/>
    </w:rPr>
  </w:style>
  <w:style w:type="character" w:customStyle="1" w:styleId="FootnoteTextChar">
    <w:name w:val="Footnote Text Char"/>
    <w:link w:val="FootnoteText"/>
    <w:uiPriority w:val="99"/>
    <w:rsid w:val="005E7790"/>
    <w:rPr>
      <w:sz w:val="20"/>
      <w:szCs w:val="20"/>
    </w:rPr>
  </w:style>
  <w:style w:type="character" w:styleId="FootnoteReference">
    <w:name w:val="footnote reference"/>
    <w:uiPriority w:val="99"/>
    <w:semiHidden/>
    <w:unhideWhenUsed/>
    <w:rsid w:val="005E7790"/>
    <w:rPr>
      <w:vertAlign w:val="superscript"/>
    </w:rPr>
  </w:style>
  <w:style w:type="character" w:styleId="PlaceholderText">
    <w:name w:val="Placeholder Text"/>
    <w:uiPriority w:val="99"/>
    <w:semiHidden/>
    <w:rsid w:val="001A6E56"/>
    <w:rPr>
      <w:color w:val="808080"/>
    </w:rPr>
  </w:style>
  <w:style w:type="character" w:styleId="Hyperlink">
    <w:name w:val="Hyperlink"/>
    <w:uiPriority w:val="99"/>
    <w:unhideWhenUsed/>
    <w:rsid w:val="000F625D"/>
    <w:rPr>
      <w:color w:val="0000FF"/>
      <w:u w:val="single"/>
    </w:rPr>
  </w:style>
  <w:style w:type="table" w:styleId="TableGrid">
    <w:name w:val="Table Grid"/>
    <w:basedOn w:val="TableNormal"/>
    <w:uiPriority w:val="59"/>
    <w:rsid w:val="00F8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B82"/>
    <w:pPr>
      <w:ind w:left="720"/>
      <w:contextualSpacing/>
    </w:pPr>
  </w:style>
  <w:style w:type="character" w:styleId="FollowedHyperlink">
    <w:name w:val="FollowedHyperlink"/>
    <w:uiPriority w:val="99"/>
    <w:semiHidden/>
    <w:unhideWhenUsed/>
    <w:rsid w:val="00C256E5"/>
    <w:rPr>
      <w:color w:val="800080"/>
      <w:u w:val="single"/>
    </w:rPr>
  </w:style>
  <w:style w:type="character" w:styleId="CommentReference">
    <w:name w:val="annotation reference"/>
    <w:uiPriority w:val="99"/>
    <w:semiHidden/>
    <w:unhideWhenUsed/>
    <w:rsid w:val="00D403D4"/>
    <w:rPr>
      <w:sz w:val="16"/>
      <w:szCs w:val="16"/>
    </w:rPr>
  </w:style>
  <w:style w:type="paragraph" w:styleId="CommentText">
    <w:name w:val="annotation text"/>
    <w:basedOn w:val="Normal"/>
    <w:link w:val="CommentTextChar"/>
    <w:uiPriority w:val="99"/>
    <w:semiHidden/>
    <w:unhideWhenUsed/>
    <w:rsid w:val="00D403D4"/>
    <w:rPr>
      <w:sz w:val="20"/>
      <w:szCs w:val="20"/>
    </w:rPr>
  </w:style>
  <w:style w:type="character" w:customStyle="1" w:styleId="CommentTextChar">
    <w:name w:val="Comment Text Char"/>
    <w:link w:val="CommentText"/>
    <w:uiPriority w:val="99"/>
    <w:semiHidden/>
    <w:rsid w:val="00D403D4"/>
    <w:rPr>
      <w:lang w:eastAsia="en-US"/>
    </w:rPr>
  </w:style>
  <w:style w:type="paragraph" w:styleId="CommentSubject">
    <w:name w:val="annotation subject"/>
    <w:basedOn w:val="CommentText"/>
    <w:next w:val="CommentText"/>
    <w:link w:val="CommentSubjectChar"/>
    <w:uiPriority w:val="99"/>
    <w:semiHidden/>
    <w:unhideWhenUsed/>
    <w:rsid w:val="00D403D4"/>
    <w:rPr>
      <w:b/>
      <w:bCs/>
    </w:rPr>
  </w:style>
  <w:style w:type="character" w:customStyle="1" w:styleId="CommentSubjectChar">
    <w:name w:val="Comment Subject Char"/>
    <w:link w:val="CommentSubject"/>
    <w:uiPriority w:val="99"/>
    <w:semiHidden/>
    <w:rsid w:val="00D403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9695">
      <w:bodyDiv w:val="1"/>
      <w:marLeft w:val="0"/>
      <w:marRight w:val="0"/>
      <w:marTop w:val="0"/>
      <w:marBottom w:val="0"/>
      <w:divBdr>
        <w:top w:val="none" w:sz="0" w:space="0" w:color="auto"/>
        <w:left w:val="none" w:sz="0" w:space="0" w:color="auto"/>
        <w:bottom w:val="none" w:sz="0" w:space="0" w:color="auto"/>
        <w:right w:val="none" w:sz="0" w:space="0" w:color="auto"/>
      </w:divBdr>
    </w:div>
    <w:div w:id="286937169">
      <w:bodyDiv w:val="1"/>
      <w:marLeft w:val="0"/>
      <w:marRight w:val="0"/>
      <w:marTop w:val="0"/>
      <w:marBottom w:val="0"/>
      <w:divBdr>
        <w:top w:val="none" w:sz="0" w:space="0" w:color="auto"/>
        <w:left w:val="none" w:sz="0" w:space="0" w:color="auto"/>
        <w:bottom w:val="none" w:sz="0" w:space="0" w:color="auto"/>
        <w:right w:val="none" w:sz="0" w:space="0" w:color="auto"/>
      </w:divBdr>
    </w:div>
    <w:div w:id="869487519">
      <w:bodyDiv w:val="1"/>
      <w:marLeft w:val="0"/>
      <w:marRight w:val="0"/>
      <w:marTop w:val="0"/>
      <w:marBottom w:val="0"/>
      <w:divBdr>
        <w:top w:val="none" w:sz="0" w:space="0" w:color="auto"/>
        <w:left w:val="none" w:sz="0" w:space="0" w:color="auto"/>
        <w:bottom w:val="none" w:sz="0" w:space="0" w:color="auto"/>
        <w:right w:val="none" w:sz="0" w:space="0" w:color="auto"/>
      </w:divBdr>
    </w:div>
    <w:div w:id="15100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ls/emp/34932279.pdf"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pr.net/documents/publications/min-wage-2013-02.pdf" TargetMode="External"/><Relationship Id="rId4" Type="http://schemas.openxmlformats.org/officeDocument/2006/relationships/settings" Target="settings.xml"/><Relationship Id="rId9" Type="http://schemas.openxmlformats.org/officeDocument/2006/relationships/hyperlink" Target="http://ssrn.com/abstract=2494651"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therine\Downloads\Returns%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Catherine\Downloads\302012021T07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004831912350822E-2"/>
          <c:y val="3.5288099469985269E-2"/>
          <c:w val="0.93549574277071579"/>
          <c:h val="0.8794544372049341"/>
        </c:manualLayout>
      </c:layout>
      <c:barChart>
        <c:barDir val="bar"/>
        <c:grouping val="clustered"/>
        <c:varyColors val="0"/>
        <c:ser>
          <c:idx val="2"/>
          <c:order val="0"/>
          <c:tx>
            <c:strRef>
              <c:f>'[Returns data.xlsx]Sheet3'!$E$2</c:f>
              <c:strCache>
                <c:ptCount val="1"/>
                <c:pt idx="0">
                  <c:v>Tertiary type A and advanced research</c:v>
                </c:pt>
              </c:strCache>
            </c:strRef>
          </c:tx>
          <c:invertIfNegative val="0"/>
          <c:cat>
            <c:strRef>
              <c:f>'[Returns data.xlsx]Sheet3'!$B$3:$B$29</c:f>
              <c:strCache>
                <c:ptCount val="27"/>
                <c:pt idx="0">
                  <c:v>Hungary</c:v>
                </c:pt>
                <c:pt idx="1">
                  <c:v>Greece</c:v>
                </c:pt>
                <c:pt idx="2">
                  <c:v>Ireland</c:v>
                </c:pt>
                <c:pt idx="3">
                  <c:v>Czech Republic</c:v>
                </c:pt>
                <c:pt idx="4">
                  <c:v>United States</c:v>
                </c:pt>
                <c:pt idx="5">
                  <c:v>Slovak Republic</c:v>
                </c:pt>
                <c:pt idx="6">
                  <c:v>Germany</c:v>
                </c:pt>
                <c:pt idx="7">
                  <c:v>United Kingdom</c:v>
                </c:pt>
                <c:pt idx="8">
                  <c:v>Portugal</c:v>
                </c:pt>
                <c:pt idx="9">
                  <c:v>Austria</c:v>
                </c:pt>
                <c:pt idx="10">
                  <c:v>Israel</c:v>
                </c:pt>
                <c:pt idx="11">
                  <c:v>Japan</c:v>
                </c:pt>
                <c:pt idx="12">
                  <c:v>Korea</c:v>
                </c:pt>
                <c:pt idx="13">
                  <c:v>France</c:v>
                </c:pt>
                <c:pt idx="14">
                  <c:v>OECD average</c:v>
                </c:pt>
                <c:pt idx="15">
                  <c:v>Canada</c:v>
                </c:pt>
                <c:pt idx="16">
                  <c:v>Finland</c:v>
                </c:pt>
                <c:pt idx="17">
                  <c:v>Switzerland</c:v>
                </c:pt>
                <c:pt idx="18">
                  <c:v>Netherlands</c:v>
                </c:pt>
                <c:pt idx="19">
                  <c:v>Turkey</c:v>
                </c:pt>
                <c:pt idx="20">
                  <c:v>Spain</c:v>
                </c:pt>
                <c:pt idx="21">
                  <c:v>Belgium</c:v>
                </c:pt>
                <c:pt idx="22">
                  <c:v>Australia</c:v>
                </c:pt>
                <c:pt idx="23">
                  <c:v>New Zealand</c:v>
                </c:pt>
                <c:pt idx="24">
                  <c:v>Sweden</c:v>
                </c:pt>
                <c:pt idx="25">
                  <c:v>Denmark</c:v>
                </c:pt>
                <c:pt idx="26">
                  <c:v>Norway</c:v>
                </c:pt>
              </c:strCache>
            </c:strRef>
          </c:cat>
          <c:val>
            <c:numRef>
              <c:f>'[Returns data.xlsx]Sheet3'!$E$3:$E$29</c:f>
              <c:numCache>
                <c:formatCode>0</c:formatCode>
                <c:ptCount val="27"/>
                <c:pt idx="0">
                  <c:v>110.68182062758848</c:v>
                </c:pt>
                <c:pt idx="1">
                  <c:v>103.69017726038146</c:v>
                </c:pt>
                <c:pt idx="2">
                  <c:v>99.847160360546354</c:v>
                </c:pt>
                <c:pt idx="3">
                  <c:v>87.437960576028132</c:v>
                </c:pt>
                <c:pt idx="4">
                  <c:v>84.409788442062933</c:v>
                </c:pt>
                <c:pt idx="5">
                  <c:v>81.532392209316157</c:v>
                </c:pt>
                <c:pt idx="6">
                  <c:v>80.739350471239533</c:v>
                </c:pt>
                <c:pt idx="7">
                  <c:v>77.865508167001849</c:v>
                </c:pt>
                <c:pt idx="8">
                  <c:v>70.970765643474323</c:v>
                </c:pt>
                <c:pt idx="9">
                  <c:v>70.88244896274847</c:v>
                </c:pt>
                <c:pt idx="10">
                  <c:v>68.912740948933617</c:v>
                </c:pt>
                <c:pt idx="11">
                  <c:v>68.178279615457058</c:v>
                </c:pt>
                <c:pt idx="12">
                  <c:v>66.589608439042252</c:v>
                </c:pt>
                <c:pt idx="13">
                  <c:v>65.448511312089295</c:v>
                </c:pt>
                <c:pt idx="14">
                  <c:v>65.422656986189963</c:v>
                </c:pt>
                <c:pt idx="15">
                  <c:v>64.509643690982273</c:v>
                </c:pt>
                <c:pt idx="16">
                  <c:v>61.097927662734179</c:v>
                </c:pt>
                <c:pt idx="17">
                  <c:v>60.848464092767784</c:v>
                </c:pt>
                <c:pt idx="18">
                  <c:v>59.788011428460266</c:v>
                </c:pt>
                <c:pt idx="19">
                  <c:v>57.199067028213619</c:v>
                </c:pt>
                <c:pt idx="20">
                  <c:v>54.536858322451792</c:v>
                </c:pt>
                <c:pt idx="21">
                  <c:v>46.74708184738023</c:v>
                </c:pt>
                <c:pt idx="22">
                  <c:v>44.976876702534383</c:v>
                </c:pt>
                <c:pt idx="23">
                  <c:v>40.375489371851785</c:v>
                </c:pt>
                <c:pt idx="24">
                  <c:v>32.562475133061611</c:v>
                </c:pt>
                <c:pt idx="25">
                  <c:v>32.361931371846936</c:v>
                </c:pt>
                <c:pt idx="26">
                  <c:v>27.03579442703014</c:v>
                </c:pt>
              </c:numCache>
            </c:numRef>
          </c:val>
        </c:ser>
        <c:ser>
          <c:idx val="1"/>
          <c:order val="1"/>
          <c:tx>
            <c:strRef>
              <c:f>'[Returns data.xlsx]Sheet3'!$D$2</c:f>
              <c:strCache>
                <c:ptCount val="1"/>
                <c:pt idx="0">
                  <c:v>Tertiary type B</c:v>
                </c:pt>
              </c:strCache>
            </c:strRef>
          </c:tx>
          <c:invertIfNegative val="0"/>
          <c:cat>
            <c:strRef>
              <c:f>'[Returns data.xlsx]Sheet3'!$B$3:$B$29</c:f>
              <c:strCache>
                <c:ptCount val="27"/>
                <c:pt idx="0">
                  <c:v>Hungary</c:v>
                </c:pt>
                <c:pt idx="1">
                  <c:v>Greece</c:v>
                </c:pt>
                <c:pt idx="2">
                  <c:v>Ireland</c:v>
                </c:pt>
                <c:pt idx="3">
                  <c:v>Czech Republic</c:v>
                </c:pt>
                <c:pt idx="4">
                  <c:v>United States</c:v>
                </c:pt>
                <c:pt idx="5">
                  <c:v>Slovak Republic</c:v>
                </c:pt>
                <c:pt idx="6">
                  <c:v>Germany</c:v>
                </c:pt>
                <c:pt idx="7">
                  <c:v>United Kingdom</c:v>
                </c:pt>
                <c:pt idx="8">
                  <c:v>Portugal</c:v>
                </c:pt>
                <c:pt idx="9">
                  <c:v>Austria</c:v>
                </c:pt>
                <c:pt idx="10">
                  <c:v>Israel</c:v>
                </c:pt>
                <c:pt idx="11">
                  <c:v>Japan</c:v>
                </c:pt>
                <c:pt idx="12">
                  <c:v>Korea</c:v>
                </c:pt>
                <c:pt idx="13">
                  <c:v>France</c:v>
                </c:pt>
                <c:pt idx="14">
                  <c:v>OECD average</c:v>
                </c:pt>
                <c:pt idx="15">
                  <c:v>Canada</c:v>
                </c:pt>
                <c:pt idx="16">
                  <c:v>Finland</c:v>
                </c:pt>
                <c:pt idx="17">
                  <c:v>Switzerland</c:v>
                </c:pt>
                <c:pt idx="18">
                  <c:v>Netherlands</c:v>
                </c:pt>
                <c:pt idx="19">
                  <c:v>Turkey</c:v>
                </c:pt>
                <c:pt idx="20">
                  <c:v>Spain</c:v>
                </c:pt>
                <c:pt idx="21">
                  <c:v>Belgium</c:v>
                </c:pt>
                <c:pt idx="22">
                  <c:v>Australia</c:v>
                </c:pt>
                <c:pt idx="23">
                  <c:v>New Zealand</c:v>
                </c:pt>
                <c:pt idx="24">
                  <c:v>Sweden</c:v>
                </c:pt>
                <c:pt idx="25">
                  <c:v>Denmark</c:v>
                </c:pt>
                <c:pt idx="26">
                  <c:v>Norway</c:v>
                </c:pt>
              </c:strCache>
            </c:strRef>
          </c:cat>
          <c:val>
            <c:numRef>
              <c:f>'[Returns data.xlsx]Sheet3'!$D$3:$D$29</c:f>
              <c:numCache>
                <c:formatCode>0</c:formatCode>
                <c:ptCount val="27"/>
                <c:pt idx="0">
                  <c:v>33.727656491310739</c:v>
                </c:pt>
                <c:pt idx="1">
                  <c:v>49.372394118493986</c:v>
                </c:pt>
                <c:pt idx="2">
                  <c:v>35.039451309170431</c:v>
                </c:pt>
                <c:pt idx="3">
                  <c:v>19.888682270675261</c:v>
                </c:pt>
                <c:pt idx="4">
                  <c:v>11.39177023395618</c:v>
                </c:pt>
                <c:pt idx="5">
                  <c:v>31.990068128115098</c:v>
                </c:pt>
                <c:pt idx="6">
                  <c:v>29.741540546122309</c:v>
                </c:pt>
                <c:pt idx="7">
                  <c:v>31.179244378797989</c:v>
                </c:pt>
                <c:pt idx="8">
                  <c:v>57.411291117448968</c:v>
                </c:pt>
                <c:pt idx="9">
                  <c:v>30.436311266813817</c:v>
                </c:pt>
                <c:pt idx="10">
                  <c:v>15.49929690824915</c:v>
                </c:pt>
                <c:pt idx="11">
                  <c:v>-10.394511132299925</c:v>
                </c:pt>
                <c:pt idx="12">
                  <c:v>15.393775391699336</c:v>
                </c:pt>
                <c:pt idx="13">
                  <c:v>23.390969310868556</c:v>
                </c:pt>
                <c:pt idx="14">
                  <c:v>24.066588157699982</c:v>
                </c:pt>
                <c:pt idx="15">
                  <c:v>10.42932509965334</c:v>
                </c:pt>
                <c:pt idx="16">
                  <c:v>27.601175060638056</c:v>
                </c:pt>
                <c:pt idx="17">
                  <c:v>37.515545506493112</c:v>
                </c:pt>
                <c:pt idx="18">
                  <c:v>48.79347623949036</c:v>
                </c:pt>
                <c:pt idx="19">
                  <c:v>24.551049234781757</c:v>
                </c:pt>
                <c:pt idx="20">
                  <c:v>6.6994660460603086</c:v>
                </c:pt>
                <c:pt idx="21">
                  <c:v>16.546236157607353</c:v>
                </c:pt>
                <c:pt idx="22">
                  <c:v>11.218682858375871</c:v>
                </c:pt>
                <c:pt idx="23">
                  <c:v>-2.5476244605502956</c:v>
                </c:pt>
                <c:pt idx="24">
                  <c:v>5.1779171412897682</c:v>
                </c:pt>
                <c:pt idx="25">
                  <c:v>16.041352011904976</c:v>
                </c:pt>
                <c:pt idx="26">
                  <c:v>49.636750865032354</c:v>
                </c:pt>
              </c:numCache>
            </c:numRef>
          </c:val>
        </c:ser>
        <c:ser>
          <c:idx val="0"/>
          <c:order val="2"/>
          <c:tx>
            <c:strRef>
              <c:f>'[Returns data.xlsx]Sheet3'!$C$2</c:f>
              <c:strCache>
                <c:ptCount val="1"/>
                <c:pt idx="0">
                  <c:v>Below upper secondary</c:v>
                </c:pt>
              </c:strCache>
            </c:strRef>
          </c:tx>
          <c:invertIfNegative val="0"/>
          <c:cat>
            <c:strRef>
              <c:f>'[Returns data.xlsx]Sheet3'!$B$3:$B$29</c:f>
              <c:strCache>
                <c:ptCount val="27"/>
                <c:pt idx="0">
                  <c:v>Hungary</c:v>
                </c:pt>
                <c:pt idx="1">
                  <c:v>Greece</c:v>
                </c:pt>
                <c:pt idx="2">
                  <c:v>Ireland</c:v>
                </c:pt>
                <c:pt idx="3">
                  <c:v>Czech Republic</c:v>
                </c:pt>
                <c:pt idx="4">
                  <c:v>United States</c:v>
                </c:pt>
                <c:pt idx="5">
                  <c:v>Slovak Republic</c:v>
                </c:pt>
                <c:pt idx="6">
                  <c:v>Germany</c:v>
                </c:pt>
                <c:pt idx="7">
                  <c:v>United Kingdom</c:v>
                </c:pt>
                <c:pt idx="8">
                  <c:v>Portugal</c:v>
                </c:pt>
                <c:pt idx="9">
                  <c:v>Austria</c:v>
                </c:pt>
                <c:pt idx="10">
                  <c:v>Israel</c:v>
                </c:pt>
                <c:pt idx="11">
                  <c:v>Japan</c:v>
                </c:pt>
                <c:pt idx="12">
                  <c:v>Korea</c:v>
                </c:pt>
                <c:pt idx="13">
                  <c:v>France</c:v>
                </c:pt>
                <c:pt idx="14">
                  <c:v>OECD average</c:v>
                </c:pt>
                <c:pt idx="15">
                  <c:v>Canada</c:v>
                </c:pt>
                <c:pt idx="16">
                  <c:v>Finland</c:v>
                </c:pt>
                <c:pt idx="17">
                  <c:v>Switzerland</c:v>
                </c:pt>
                <c:pt idx="18">
                  <c:v>Netherlands</c:v>
                </c:pt>
                <c:pt idx="19">
                  <c:v>Turkey</c:v>
                </c:pt>
                <c:pt idx="20">
                  <c:v>Spain</c:v>
                </c:pt>
                <c:pt idx="21">
                  <c:v>Belgium</c:v>
                </c:pt>
                <c:pt idx="22">
                  <c:v>Australia</c:v>
                </c:pt>
                <c:pt idx="23">
                  <c:v>New Zealand</c:v>
                </c:pt>
                <c:pt idx="24">
                  <c:v>Sweden</c:v>
                </c:pt>
                <c:pt idx="25">
                  <c:v>Denmark</c:v>
                </c:pt>
                <c:pt idx="26">
                  <c:v>Norway</c:v>
                </c:pt>
              </c:strCache>
            </c:strRef>
          </c:cat>
          <c:val>
            <c:numRef>
              <c:f>'[Returns data.xlsx]Sheet3'!$C$3:$C$29</c:f>
              <c:numCache>
                <c:formatCode>0</c:formatCode>
                <c:ptCount val="27"/>
                <c:pt idx="0">
                  <c:v>-27.210019061338656</c:v>
                </c:pt>
                <c:pt idx="1">
                  <c:v>-23.908638089681403</c:v>
                </c:pt>
                <c:pt idx="2">
                  <c:v>-14.513463167119596</c:v>
                </c:pt>
                <c:pt idx="3">
                  <c:v>-26.860048324329227</c:v>
                </c:pt>
                <c:pt idx="4">
                  <c:v>-34.432720252714333</c:v>
                </c:pt>
                <c:pt idx="5">
                  <c:v>-33.209277907947069</c:v>
                </c:pt>
                <c:pt idx="6">
                  <c:v>-14.656339758746014</c:v>
                </c:pt>
                <c:pt idx="7">
                  <c:v>-33.319148609452398</c:v>
                </c:pt>
                <c:pt idx="8">
                  <c:v>-31.883330948425439</c:v>
                </c:pt>
                <c:pt idx="9">
                  <c:v>-34.35938752147203</c:v>
                </c:pt>
                <c:pt idx="10">
                  <c:v>-28.516882383734</c:v>
                </c:pt>
                <c:pt idx="11">
                  <c:v>-20.459052700438008</c:v>
                </c:pt>
                <c:pt idx="12">
                  <c:v>-31.163533001348441</c:v>
                </c:pt>
                <c:pt idx="13">
                  <c:v>-21.077148936625704</c:v>
                </c:pt>
                <c:pt idx="14">
                  <c:v>-23.131237236105179</c:v>
                </c:pt>
                <c:pt idx="15">
                  <c:v>-20.084281773753446</c:v>
                </c:pt>
                <c:pt idx="16">
                  <c:v>-7.3679893476552962</c:v>
                </c:pt>
                <c:pt idx="17">
                  <c:v>-24.785135000158817</c:v>
                </c:pt>
                <c:pt idx="18">
                  <c:v>-18.775481276333778</c:v>
                </c:pt>
                <c:pt idx="19">
                  <c:v>-31.146512127240513</c:v>
                </c:pt>
                <c:pt idx="20">
                  <c:v>-21.948698587153444</c:v>
                </c:pt>
                <c:pt idx="21">
                  <c:v>-8.6577549321823</c:v>
                </c:pt>
                <c:pt idx="22">
                  <c:v>-19.301513593556336</c:v>
                </c:pt>
                <c:pt idx="23">
                  <c:v>-21.300364785510538</c:v>
                </c:pt>
                <c:pt idx="24">
                  <c:v>-18.285534378248386</c:v>
                </c:pt>
                <c:pt idx="25">
                  <c:v>-18.85940977506408</c:v>
                </c:pt>
                <c:pt idx="26">
                  <c:v>-22.96490321240077</c:v>
                </c:pt>
              </c:numCache>
            </c:numRef>
          </c:val>
        </c:ser>
        <c:dLbls>
          <c:showLegendKey val="0"/>
          <c:showVal val="0"/>
          <c:showCatName val="0"/>
          <c:showSerName val="0"/>
          <c:showPercent val="0"/>
          <c:showBubbleSize val="0"/>
        </c:dLbls>
        <c:gapWidth val="150"/>
        <c:axId val="309107088"/>
        <c:axId val="309108264"/>
      </c:barChart>
      <c:catAx>
        <c:axId val="309107088"/>
        <c:scaling>
          <c:orientation val="minMax"/>
        </c:scaling>
        <c:delete val="0"/>
        <c:axPos val="l"/>
        <c:numFmt formatCode="General" sourceLinked="0"/>
        <c:majorTickMark val="out"/>
        <c:minorTickMark val="none"/>
        <c:tickLblPos val="low"/>
        <c:txPr>
          <a:bodyPr rot="0" vert="horz"/>
          <a:lstStyle/>
          <a:p>
            <a:pPr>
              <a:defRPr/>
            </a:pPr>
            <a:endParaRPr lang="en-US"/>
          </a:p>
        </c:txPr>
        <c:crossAx val="309108264"/>
        <c:crosses val="autoZero"/>
        <c:auto val="1"/>
        <c:lblAlgn val="ctr"/>
        <c:lblOffset val="100"/>
        <c:noMultiLvlLbl val="0"/>
      </c:catAx>
      <c:valAx>
        <c:axId val="309108264"/>
        <c:scaling>
          <c:orientation val="minMax"/>
        </c:scaling>
        <c:delete val="0"/>
        <c:axPos val="b"/>
        <c:title>
          <c:tx>
            <c:rich>
              <a:bodyPr/>
              <a:lstStyle/>
              <a:p>
                <a:pPr>
                  <a:defRPr/>
                </a:pPr>
                <a:r>
                  <a:rPr lang="en-GB"/>
                  <a:t>Relative earnings </a:t>
                </a:r>
              </a:p>
            </c:rich>
          </c:tx>
          <c:overlay val="0"/>
        </c:title>
        <c:numFmt formatCode="0" sourceLinked="1"/>
        <c:majorTickMark val="out"/>
        <c:minorTickMark val="none"/>
        <c:tickLblPos val="nextTo"/>
        <c:crossAx val="309107088"/>
        <c:crosses val="autoZero"/>
        <c:crossBetween val="between"/>
      </c:valAx>
    </c:plotArea>
    <c:legend>
      <c:legendPos val="r"/>
      <c:layout>
        <c:manualLayout>
          <c:xMode val="edge"/>
          <c:yMode val="edge"/>
          <c:x val="0.66585034013605437"/>
          <c:y val="3.464792793356028E-2"/>
          <c:w val="0.31460381737997034"/>
          <c:h val="0.138089607808608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043100334815783"/>
          <c:y val="2.6232270014564435E-2"/>
          <c:w val="0.79613078929397152"/>
          <c:h val="0.92049462716681951"/>
        </c:manualLayout>
      </c:layout>
      <c:barChart>
        <c:barDir val="bar"/>
        <c:grouping val="clustered"/>
        <c:varyColors val="0"/>
        <c:ser>
          <c:idx val="2"/>
          <c:order val="0"/>
          <c:tx>
            <c:strRef>
              <c:f>Sheet1!$D$2</c:f>
              <c:strCache>
                <c:ptCount val="1"/>
                <c:pt idx="0">
                  <c:v>Teritiary type A and advanced research</c:v>
                </c:pt>
              </c:strCache>
            </c:strRef>
          </c:tx>
          <c:invertIfNegative val="0"/>
          <c:cat>
            <c:strRef>
              <c:f>Sheet1!$A$3:$A$36</c:f>
              <c:strCache>
                <c:ptCount val="34"/>
                <c:pt idx="0">
                  <c:v>Germany</c:v>
                </c:pt>
                <c:pt idx="1">
                  <c:v>Greece</c:v>
                </c:pt>
                <c:pt idx="2">
                  <c:v>Turkey</c:v>
                </c:pt>
                <c:pt idx="3">
                  <c:v>Ireland</c:v>
                </c:pt>
                <c:pt idx="4">
                  <c:v>Israel</c:v>
                </c:pt>
                <c:pt idx="5">
                  <c:v>Poland</c:v>
                </c:pt>
                <c:pt idx="6">
                  <c:v>Chile</c:v>
                </c:pt>
                <c:pt idx="7">
                  <c:v>United States</c:v>
                </c:pt>
                <c:pt idx="8">
                  <c:v>Slovenia</c:v>
                </c:pt>
                <c:pt idx="9">
                  <c:v>Spain</c:v>
                </c:pt>
                <c:pt idx="10">
                  <c:v>Iceland</c:v>
                </c:pt>
                <c:pt idx="11">
                  <c:v>Luxembourg</c:v>
                </c:pt>
                <c:pt idx="12">
                  <c:v>Denmark</c:v>
                </c:pt>
                <c:pt idx="13">
                  <c:v>Switzerland</c:v>
                </c:pt>
                <c:pt idx="14">
                  <c:v>Austria</c:v>
                </c:pt>
                <c:pt idx="15">
                  <c:v>Belgium</c:v>
                </c:pt>
                <c:pt idx="16">
                  <c:v>Norway</c:v>
                </c:pt>
                <c:pt idx="17">
                  <c:v>Finland</c:v>
                </c:pt>
                <c:pt idx="18">
                  <c:v>Japan</c:v>
                </c:pt>
                <c:pt idx="19">
                  <c:v>Hungary</c:v>
                </c:pt>
                <c:pt idx="20">
                  <c:v>Canada</c:v>
                </c:pt>
                <c:pt idx="21">
                  <c:v>France</c:v>
                </c:pt>
                <c:pt idx="22">
                  <c:v>Estonia</c:v>
                </c:pt>
                <c:pt idx="23">
                  <c:v>Australia</c:v>
                </c:pt>
                <c:pt idx="24">
                  <c:v>Italy</c:v>
                </c:pt>
                <c:pt idx="25">
                  <c:v>Korea</c:v>
                </c:pt>
                <c:pt idx="26">
                  <c:v>Sweden</c:v>
                </c:pt>
                <c:pt idx="27">
                  <c:v>Mexico</c:v>
                </c:pt>
                <c:pt idx="28">
                  <c:v>United Kingdom</c:v>
                </c:pt>
                <c:pt idx="29">
                  <c:v>Slovak Republic</c:v>
                </c:pt>
                <c:pt idx="30">
                  <c:v>Portugal</c:v>
                </c:pt>
                <c:pt idx="31">
                  <c:v>Netherlands</c:v>
                </c:pt>
                <c:pt idx="32">
                  <c:v>New Zealand</c:v>
                </c:pt>
                <c:pt idx="33">
                  <c:v>Czech Republic</c:v>
                </c:pt>
              </c:strCache>
            </c:strRef>
          </c:cat>
          <c:val>
            <c:numRef>
              <c:f>Sheet1!$D$3:$D$36</c:f>
              <c:numCache>
                <c:formatCode>0%</c:formatCode>
                <c:ptCount val="34"/>
                <c:pt idx="0">
                  <c:v>0.4257550496930016</c:v>
                </c:pt>
                <c:pt idx="1">
                  <c:v>0.33691290288885356</c:v>
                </c:pt>
                <c:pt idx="2">
                  <c:v>0.30151310767428985</c:v>
                </c:pt>
                <c:pt idx="3">
                  <c:v>0.26400078975800523</c:v>
                </c:pt>
                <c:pt idx="4">
                  <c:v>0.23391053666892714</c:v>
                </c:pt>
                <c:pt idx="5">
                  <c:v>0.23337763723950578</c:v>
                </c:pt>
                <c:pt idx="6">
                  <c:v>0.22722149675728209</c:v>
                </c:pt>
                <c:pt idx="7">
                  <c:v>0.20959285886088952</c:v>
                </c:pt>
                <c:pt idx="8">
                  <c:v>0.20951267674937135</c:v>
                </c:pt>
                <c:pt idx="9">
                  <c:v>0.19711563067111726</c:v>
                </c:pt>
                <c:pt idx="10">
                  <c:v>0.19484323722916241</c:v>
                </c:pt>
                <c:pt idx="11">
                  <c:v>0.18691279707299135</c:v>
                </c:pt>
                <c:pt idx="12">
                  <c:v>0.17598231771691952</c:v>
                </c:pt>
                <c:pt idx="13">
                  <c:v>0.17415137470841424</c:v>
                </c:pt>
                <c:pt idx="14">
                  <c:v>0.16626759315494932</c:v>
                </c:pt>
                <c:pt idx="15">
                  <c:v>0.16018438500819343</c:v>
                </c:pt>
                <c:pt idx="16">
                  <c:v>0.15425635057560272</c:v>
                </c:pt>
                <c:pt idx="17">
                  <c:v>0.1488517246020602</c:v>
                </c:pt>
                <c:pt idx="18">
                  <c:v>0.14783299475934886</c:v>
                </c:pt>
                <c:pt idx="19">
                  <c:v>0.14108347106167574</c:v>
                </c:pt>
                <c:pt idx="20">
                  <c:v>0.13280241959778483</c:v>
                </c:pt>
                <c:pt idx="21">
                  <c:v>0.12707947707952361</c:v>
                </c:pt>
                <c:pt idx="22">
                  <c:v>0.12564890879464885</c:v>
                </c:pt>
                <c:pt idx="23">
                  <c:v>0.11911832932888156</c:v>
                </c:pt>
                <c:pt idx="24">
                  <c:v>0.10332067050231175</c:v>
                </c:pt>
                <c:pt idx="25">
                  <c:v>0.10217951043264173</c:v>
                </c:pt>
                <c:pt idx="26">
                  <c:v>9.2229170639390956E-2</c:v>
                </c:pt>
                <c:pt idx="27">
                  <c:v>8.8779473645155038E-2</c:v>
                </c:pt>
                <c:pt idx="28">
                  <c:v>8.1541617519253817E-2</c:v>
                </c:pt>
                <c:pt idx="29">
                  <c:v>7.4199469900761539E-2</c:v>
                </c:pt>
                <c:pt idx="30">
                  <c:v>7.3978777832910847E-2</c:v>
                </c:pt>
                <c:pt idx="31">
                  <c:v>6.7179130397778009E-2</c:v>
                </c:pt>
                <c:pt idx="32">
                  <c:v>6.5130802389221865E-2</c:v>
                </c:pt>
                <c:pt idx="33">
                  <c:v>6.0403924000780984E-2</c:v>
                </c:pt>
              </c:numCache>
            </c:numRef>
          </c:val>
        </c:ser>
        <c:ser>
          <c:idx val="1"/>
          <c:order val="1"/>
          <c:tx>
            <c:strRef>
              <c:f>Sheet1!$C$2</c:f>
              <c:strCache>
                <c:ptCount val="1"/>
                <c:pt idx="0">
                  <c:v>Teriary type B</c:v>
                </c:pt>
              </c:strCache>
            </c:strRef>
          </c:tx>
          <c:invertIfNegative val="0"/>
          <c:cat>
            <c:strRef>
              <c:f>Sheet1!$A$3:$A$36</c:f>
              <c:strCache>
                <c:ptCount val="34"/>
                <c:pt idx="0">
                  <c:v>Germany</c:v>
                </c:pt>
                <c:pt idx="1">
                  <c:v>Greece</c:v>
                </c:pt>
                <c:pt idx="2">
                  <c:v>Turkey</c:v>
                </c:pt>
                <c:pt idx="3">
                  <c:v>Ireland</c:v>
                </c:pt>
                <c:pt idx="4">
                  <c:v>Israel</c:v>
                </c:pt>
                <c:pt idx="5">
                  <c:v>Poland</c:v>
                </c:pt>
                <c:pt idx="6">
                  <c:v>Chile</c:v>
                </c:pt>
                <c:pt idx="7">
                  <c:v>United States</c:v>
                </c:pt>
                <c:pt idx="8">
                  <c:v>Slovenia</c:v>
                </c:pt>
                <c:pt idx="9">
                  <c:v>Spain</c:v>
                </c:pt>
                <c:pt idx="10">
                  <c:v>Iceland</c:v>
                </c:pt>
                <c:pt idx="11">
                  <c:v>Luxembourg</c:v>
                </c:pt>
                <c:pt idx="12">
                  <c:v>Denmark</c:v>
                </c:pt>
                <c:pt idx="13">
                  <c:v>Switzerland</c:v>
                </c:pt>
                <c:pt idx="14">
                  <c:v>Austria</c:v>
                </c:pt>
                <c:pt idx="15">
                  <c:v>Belgium</c:v>
                </c:pt>
                <c:pt idx="16">
                  <c:v>Norway</c:v>
                </c:pt>
                <c:pt idx="17">
                  <c:v>Finland</c:v>
                </c:pt>
                <c:pt idx="18">
                  <c:v>Japan</c:v>
                </c:pt>
                <c:pt idx="19">
                  <c:v>Hungary</c:v>
                </c:pt>
                <c:pt idx="20">
                  <c:v>Canada</c:v>
                </c:pt>
                <c:pt idx="21">
                  <c:v>France</c:v>
                </c:pt>
                <c:pt idx="22">
                  <c:v>Estonia</c:v>
                </c:pt>
                <c:pt idx="23">
                  <c:v>Australia</c:v>
                </c:pt>
                <c:pt idx="24">
                  <c:v>Italy</c:v>
                </c:pt>
                <c:pt idx="25">
                  <c:v>Korea</c:v>
                </c:pt>
                <c:pt idx="26">
                  <c:v>Sweden</c:v>
                </c:pt>
                <c:pt idx="27">
                  <c:v>Mexico</c:v>
                </c:pt>
                <c:pt idx="28">
                  <c:v>United Kingdom</c:v>
                </c:pt>
                <c:pt idx="29">
                  <c:v>Slovak Republic</c:v>
                </c:pt>
                <c:pt idx="30">
                  <c:v>Portugal</c:v>
                </c:pt>
                <c:pt idx="31">
                  <c:v>Netherlands</c:v>
                </c:pt>
                <c:pt idx="32">
                  <c:v>New Zealand</c:v>
                </c:pt>
                <c:pt idx="33">
                  <c:v>Czech Republic</c:v>
                </c:pt>
              </c:strCache>
            </c:strRef>
          </c:cat>
          <c:val>
            <c:numRef>
              <c:f>Sheet1!$C$3:$C$36</c:f>
              <c:numCache>
                <c:formatCode>0%</c:formatCode>
                <c:ptCount val="34"/>
                <c:pt idx="0">
                  <c:v>0.42225192003312295</c:v>
                </c:pt>
                <c:pt idx="1">
                  <c:v>0.18995494237119703</c:v>
                </c:pt>
                <c:pt idx="3">
                  <c:v>0.14852267716410505</c:v>
                </c:pt>
                <c:pt idx="4">
                  <c:v>0.15092219592158895</c:v>
                </c:pt>
                <c:pt idx="6">
                  <c:v>0.14078597935488668</c:v>
                </c:pt>
                <c:pt idx="7">
                  <c:v>0.11953269237145503</c:v>
                </c:pt>
                <c:pt idx="8">
                  <c:v>0.12509369203320064</c:v>
                </c:pt>
                <c:pt idx="9">
                  <c:v>0.11183667895940008</c:v>
                </c:pt>
                <c:pt idx="10">
                  <c:v>0.14783665945556712</c:v>
                </c:pt>
                <c:pt idx="11">
                  <c:v>8.8655474122106392E-2</c:v>
                </c:pt>
                <c:pt idx="12">
                  <c:v>0.15205763062977962</c:v>
                </c:pt>
                <c:pt idx="13">
                  <c:v>0.23104042017115445</c:v>
                </c:pt>
                <c:pt idx="14">
                  <c:v>0.1231506944657057</c:v>
                </c:pt>
                <c:pt idx="15">
                  <c:v>0.13741239870400013</c:v>
                </c:pt>
                <c:pt idx="16">
                  <c:v>0.1946821349734098</c:v>
                </c:pt>
                <c:pt idx="17">
                  <c:v>0.11001706211620133</c:v>
                </c:pt>
                <c:pt idx="18">
                  <c:v>-5.382075796135366E-4</c:v>
                </c:pt>
                <c:pt idx="19">
                  <c:v>0.13620792128475911</c:v>
                </c:pt>
                <c:pt idx="20">
                  <c:v>0.10813500712317126</c:v>
                </c:pt>
                <c:pt idx="21">
                  <c:v>0.14400075719359684</c:v>
                </c:pt>
                <c:pt idx="22">
                  <c:v>4.4132475154632811E-2</c:v>
                </c:pt>
                <c:pt idx="23">
                  <c:v>6.6728350381669799E-2</c:v>
                </c:pt>
                <c:pt idx="24">
                  <c:v>-4.5939522113719322E-3</c:v>
                </c:pt>
                <c:pt idx="25">
                  <c:v>5.7075735643927983E-2</c:v>
                </c:pt>
                <c:pt idx="26">
                  <c:v>2.5002006602637961E-2</c:v>
                </c:pt>
                <c:pt idx="27">
                  <c:v>5.0780666453682954E-2</c:v>
                </c:pt>
                <c:pt idx="28">
                  <c:v>4.394467992182971E-2</c:v>
                </c:pt>
                <c:pt idx="29">
                  <c:v>1.6989351368678296E-2</c:v>
                </c:pt>
                <c:pt idx="31">
                  <c:v>-3.1355532814296039E-2</c:v>
                </c:pt>
                <c:pt idx="32">
                  <c:v>7.9582617956375223E-4</c:v>
                </c:pt>
              </c:numCache>
            </c:numRef>
          </c:val>
        </c:ser>
        <c:ser>
          <c:idx val="0"/>
          <c:order val="2"/>
          <c:tx>
            <c:strRef>
              <c:f>Sheet1!$B$2</c:f>
              <c:strCache>
                <c:ptCount val="1"/>
                <c:pt idx="0">
                  <c:v>Lower secondary education</c:v>
                </c:pt>
              </c:strCache>
            </c:strRef>
          </c:tx>
          <c:invertIfNegative val="0"/>
          <c:cat>
            <c:strRef>
              <c:f>Sheet1!$A$3:$A$36</c:f>
              <c:strCache>
                <c:ptCount val="34"/>
                <c:pt idx="0">
                  <c:v>Germany</c:v>
                </c:pt>
                <c:pt idx="1">
                  <c:v>Greece</c:v>
                </c:pt>
                <c:pt idx="2">
                  <c:v>Turkey</c:v>
                </c:pt>
                <c:pt idx="3">
                  <c:v>Ireland</c:v>
                </c:pt>
                <c:pt idx="4">
                  <c:v>Israel</c:v>
                </c:pt>
                <c:pt idx="5">
                  <c:v>Poland</c:v>
                </c:pt>
                <c:pt idx="6">
                  <c:v>Chile</c:v>
                </c:pt>
                <c:pt idx="7">
                  <c:v>United States</c:v>
                </c:pt>
                <c:pt idx="8">
                  <c:v>Slovenia</c:v>
                </c:pt>
                <c:pt idx="9">
                  <c:v>Spain</c:v>
                </c:pt>
                <c:pt idx="10">
                  <c:v>Iceland</c:v>
                </c:pt>
                <c:pt idx="11">
                  <c:v>Luxembourg</c:v>
                </c:pt>
                <c:pt idx="12">
                  <c:v>Denmark</c:v>
                </c:pt>
                <c:pt idx="13">
                  <c:v>Switzerland</c:v>
                </c:pt>
                <c:pt idx="14">
                  <c:v>Austria</c:v>
                </c:pt>
                <c:pt idx="15">
                  <c:v>Belgium</c:v>
                </c:pt>
                <c:pt idx="16">
                  <c:v>Norway</c:v>
                </c:pt>
                <c:pt idx="17">
                  <c:v>Finland</c:v>
                </c:pt>
                <c:pt idx="18">
                  <c:v>Japan</c:v>
                </c:pt>
                <c:pt idx="19">
                  <c:v>Hungary</c:v>
                </c:pt>
                <c:pt idx="20">
                  <c:v>Canada</c:v>
                </c:pt>
                <c:pt idx="21">
                  <c:v>France</c:v>
                </c:pt>
                <c:pt idx="22">
                  <c:v>Estonia</c:v>
                </c:pt>
                <c:pt idx="23">
                  <c:v>Australia</c:v>
                </c:pt>
                <c:pt idx="24">
                  <c:v>Italy</c:v>
                </c:pt>
                <c:pt idx="25">
                  <c:v>Korea</c:v>
                </c:pt>
                <c:pt idx="26">
                  <c:v>Sweden</c:v>
                </c:pt>
                <c:pt idx="27">
                  <c:v>Mexico</c:v>
                </c:pt>
                <c:pt idx="28">
                  <c:v>United Kingdom</c:v>
                </c:pt>
                <c:pt idx="29">
                  <c:v>Slovak Republic</c:v>
                </c:pt>
                <c:pt idx="30">
                  <c:v>Portugal</c:v>
                </c:pt>
                <c:pt idx="31">
                  <c:v>Netherlands</c:v>
                </c:pt>
                <c:pt idx="32">
                  <c:v>New Zealand</c:v>
                </c:pt>
                <c:pt idx="33">
                  <c:v>Czech Republic</c:v>
                </c:pt>
              </c:strCache>
            </c:strRef>
          </c:cat>
          <c:val>
            <c:numRef>
              <c:f>Sheet1!$B$3:$B$36</c:f>
              <c:numCache>
                <c:formatCode>0%</c:formatCode>
                <c:ptCount val="34"/>
                <c:pt idx="0">
                  <c:v>-1.9895364199857268E-2</c:v>
                </c:pt>
                <c:pt idx="1">
                  <c:v>2.8518683169003189E-3</c:v>
                </c:pt>
                <c:pt idx="2">
                  <c:v>2.8977645081264658E-2</c:v>
                </c:pt>
                <c:pt idx="3">
                  <c:v>-0.22232865752673714</c:v>
                </c:pt>
                <c:pt idx="4">
                  <c:v>-0.14818011203803483</c:v>
                </c:pt>
                <c:pt idx="5">
                  <c:v>-0.42077255710191241</c:v>
                </c:pt>
                <c:pt idx="6">
                  <c:v>-6.6318690003973058E-2</c:v>
                </c:pt>
                <c:pt idx="7">
                  <c:v>-0.23460879259406386</c:v>
                </c:pt>
                <c:pt idx="8">
                  <c:v>-0.31742216069959173</c:v>
                </c:pt>
                <c:pt idx="9">
                  <c:v>-0.14756591251193341</c:v>
                </c:pt>
                <c:pt idx="10">
                  <c:v>-7.4310766198874001E-3</c:v>
                </c:pt>
                <c:pt idx="11">
                  <c:v>-0.16546870491748933</c:v>
                </c:pt>
                <c:pt idx="12">
                  <c:v>-0.17254176102024588</c:v>
                </c:pt>
                <c:pt idx="13">
                  <c:v>-7.6475046411990766E-2</c:v>
                </c:pt>
                <c:pt idx="14">
                  <c:v>-0.27492660043990003</c:v>
                </c:pt>
                <c:pt idx="15">
                  <c:v>-0.23323042557013274</c:v>
                </c:pt>
                <c:pt idx="16">
                  <c:v>-0.15905465045054712</c:v>
                </c:pt>
                <c:pt idx="17">
                  <c:v>-0.15119116986651537</c:v>
                </c:pt>
                <c:pt idx="19">
                  <c:v>-0.41687296987980371</c:v>
                </c:pt>
                <c:pt idx="20">
                  <c:v>-0.16744302236744679</c:v>
                </c:pt>
                <c:pt idx="21">
                  <c:v>-0.15184984533157952</c:v>
                </c:pt>
                <c:pt idx="22">
                  <c:v>-0.30103958866882297</c:v>
                </c:pt>
                <c:pt idx="23">
                  <c:v>-7.6812166867784692E-2</c:v>
                </c:pt>
                <c:pt idx="24">
                  <c:v>-0.19668674104302186</c:v>
                </c:pt>
                <c:pt idx="25">
                  <c:v>-3.3582730942439465E-2</c:v>
                </c:pt>
                <c:pt idx="26">
                  <c:v>-0.1465443135173744</c:v>
                </c:pt>
                <c:pt idx="27">
                  <c:v>-6.4241321702113274E-2</c:v>
                </c:pt>
                <c:pt idx="28">
                  <c:v>-0.44107913266060317</c:v>
                </c:pt>
                <c:pt idx="29">
                  <c:v>-0.57121872262510565</c:v>
                </c:pt>
                <c:pt idx="30">
                  <c:v>-5.7771817810385429E-2</c:v>
                </c:pt>
                <c:pt idx="31">
                  <c:v>-0.19573862905661532</c:v>
                </c:pt>
                <c:pt idx="32">
                  <c:v>-0.19235862764947376</c:v>
                </c:pt>
                <c:pt idx="33">
                  <c:v>-0.47446264092221735</c:v>
                </c:pt>
              </c:numCache>
            </c:numRef>
          </c:val>
        </c:ser>
        <c:dLbls>
          <c:showLegendKey val="0"/>
          <c:showVal val="0"/>
          <c:showCatName val="0"/>
          <c:showSerName val="0"/>
          <c:showPercent val="0"/>
          <c:showBubbleSize val="0"/>
        </c:dLbls>
        <c:gapWidth val="150"/>
        <c:axId val="309111400"/>
        <c:axId val="309104736"/>
      </c:barChart>
      <c:catAx>
        <c:axId val="309111400"/>
        <c:scaling>
          <c:orientation val="minMax"/>
        </c:scaling>
        <c:delete val="0"/>
        <c:axPos val="l"/>
        <c:numFmt formatCode="General" sourceLinked="0"/>
        <c:majorTickMark val="out"/>
        <c:minorTickMark val="none"/>
        <c:tickLblPos val="low"/>
        <c:crossAx val="309104736"/>
        <c:crosses val="autoZero"/>
        <c:auto val="1"/>
        <c:lblAlgn val="ctr"/>
        <c:lblOffset val="100"/>
        <c:noMultiLvlLbl val="0"/>
      </c:catAx>
      <c:valAx>
        <c:axId val="309104736"/>
        <c:scaling>
          <c:orientation val="minMax"/>
        </c:scaling>
        <c:delete val="0"/>
        <c:axPos val="b"/>
        <c:numFmt formatCode="0%" sourceLinked="1"/>
        <c:majorTickMark val="out"/>
        <c:minorTickMark val="none"/>
        <c:tickLblPos val="nextTo"/>
        <c:crossAx val="309111400"/>
        <c:crosses val="autoZero"/>
        <c:crossBetween val="between"/>
      </c:valAx>
    </c:plotArea>
    <c:legend>
      <c:legendPos val="r"/>
      <c:layout>
        <c:manualLayout>
          <c:xMode val="edge"/>
          <c:yMode val="edge"/>
          <c:x val="0.18839039320711867"/>
          <c:y val="0.32863872877134376"/>
          <c:w val="0.28914356708546229"/>
          <c:h val="0.1924454658478695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01809233489021"/>
          <c:y val="3.1712424121791975E-2"/>
          <c:w val="0.85149381890192044"/>
          <c:h val="0.83616334590566921"/>
        </c:manualLayout>
      </c:layout>
      <c:scatterChart>
        <c:scatterStyle val="lineMarker"/>
        <c:varyColors val="0"/>
        <c:ser>
          <c:idx val="0"/>
          <c:order val="0"/>
          <c:spPr>
            <a:ln w="28575">
              <a:noFill/>
            </a:ln>
          </c:spPr>
          <c:marker>
            <c:symbol val="none"/>
          </c:marker>
          <c:dPt>
            <c:idx val="21"/>
            <c:bubble3D val="0"/>
          </c:dPt>
          <c:dLbls>
            <c:dLbl>
              <c:idx val="0"/>
              <c:tx>
                <c:rich>
                  <a:bodyPr/>
                  <a:lstStyle/>
                  <a:p>
                    <a:r>
                      <a:rPr lang="en-US"/>
                      <a:t>AUS</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AUT</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BEL</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CAN</a:t>
                    </a:r>
                  </a:p>
                </c:rich>
              </c:tx>
              <c:dLblPos val="ct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CHL</a:t>
                    </a:r>
                  </a:p>
                </c:rich>
              </c:tx>
              <c:dLblPos val="ct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CZE</a:t>
                    </a:r>
                  </a:p>
                </c:rich>
              </c:tx>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DNK</a:t>
                    </a:r>
                  </a:p>
                </c:rich>
              </c:tx>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EST</a:t>
                    </a:r>
                  </a:p>
                </c:rich>
              </c:tx>
              <c:dLblPos val="ct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FIN</a:t>
                    </a:r>
                  </a:p>
                </c:rich>
              </c:tx>
              <c:dLblPos val="ctr"/>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FRA</a:t>
                    </a:r>
                  </a:p>
                </c:rich>
              </c:tx>
              <c:dLblPos val="ct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DEU</a:t>
                    </a:r>
                  </a:p>
                </c:rich>
              </c:tx>
              <c:dLblPos val="ctr"/>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GRC</a:t>
                    </a:r>
                  </a:p>
                </c:rich>
              </c:tx>
              <c:dLblPos val="ctr"/>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HUN</a:t>
                    </a:r>
                  </a:p>
                </c:rich>
              </c:tx>
              <c:dLblPos val="ctr"/>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IRE</a:t>
                    </a:r>
                  </a:p>
                </c:rich>
              </c:tx>
              <c:dLblPos val="ctr"/>
              <c:showLegendKey val="0"/>
              <c:showVal val="1"/>
              <c:showCatName val="0"/>
              <c:showSerName val="0"/>
              <c:showPercent val="0"/>
              <c:showBubbleSize val="0"/>
              <c:extLst>
                <c:ext xmlns:c15="http://schemas.microsoft.com/office/drawing/2012/chart" uri="{CE6537A1-D6FC-4f65-9D91-7224C49458BB}"/>
              </c:extLst>
            </c:dLbl>
            <c:dLbl>
              <c:idx val="14"/>
              <c:tx>
                <c:rich>
                  <a:bodyPr/>
                  <a:lstStyle/>
                  <a:p>
                    <a:r>
                      <a:rPr lang="en-US"/>
                      <a:t>ISL</a:t>
                    </a:r>
                  </a:p>
                </c:rich>
              </c:tx>
              <c:dLblPos val="ctr"/>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ITA</a:t>
                    </a:r>
                  </a:p>
                </c:rich>
              </c:tx>
              <c:dLblPos val="ctr"/>
              <c:showLegendKey val="0"/>
              <c:showVal val="1"/>
              <c:showCatName val="0"/>
              <c:showSerName val="0"/>
              <c:showPercent val="0"/>
              <c:showBubbleSize val="0"/>
              <c:extLst>
                <c:ext xmlns:c15="http://schemas.microsoft.com/office/drawing/2012/chart" uri="{CE6537A1-D6FC-4f65-9D91-7224C49458BB}"/>
              </c:extLst>
            </c:dLbl>
            <c:dLbl>
              <c:idx val="16"/>
              <c:tx>
                <c:rich>
                  <a:bodyPr/>
                  <a:lstStyle/>
                  <a:p>
                    <a:r>
                      <a:rPr lang="en-US"/>
                      <a:t>JPN</a:t>
                    </a:r>
                  </a:p>
                </c:rich>
              </c:tx>
              <c:dLblPos val="ctr"/>
              <c:showLegendKey val="0"/>
              <c:showVal val="1"/>
              <c:showCatName val="0"/>
              <c:showSerName val="0"/>
              <c:showPercent val="0"/>
              <c:showBubbleSize val="0"/>
              <c:extLst>
                <c:ext xmlns:c15="http://schemas.microsoft.com/office/drawing/2012/chart" uri="{CE6537A1-D6FC-4f65-9D91-7224C49458BB}"/>
              </c:extLst>
            </c:dLbl>
            <c:dLbl>
              <c:idx val="17"/>
              <c:tx>
                <c:rich>
                  <a:bodyPr/>
                  <a:lstStyle/>
                  <a:p>
                    <a:r>
                      <a:rPr lang="en-US"/>
                      <a:t>KOR</a:t>
                    </a:r>
                  </a:p>
                </c:rich>
              </c:tx>
              <c:dLblPos val="ctr"/>
              <c:showLegendKey val="0"/>
              <c:showVal val="1"/>
              <c:showCatName val="0"/>
              <c:showSerName val="0"/>
              <c:showPercent val="0"/>
              <c:showBubbleSize val="0"/>
              <c:extLst>
                <c:ext xmlns:c15="http://schemas.microsoft.com/office/drawing/2012/chart" uri="{CE6537A1-D6FC-4f65-9D91-7224C49458BB}"/>
              </c:extLst>
            </c:dLbl>
            <c:dLbl>
              <c:idx val="18"/>
              <c:tx>
                <c:rich>
                  <a:bodyPr/>
                  <a:lstStyle/>
                  <a:p>
                    <a:r>
                      <a:rPr lang="en-US"/>
                      <a:t>NLD</a:t>
                    </a:r>
                  </a:p>
                </c:rich>
              </c:tx>
              <c:dLblPos val="ctr"/>
              <c:showLegendKey val="0"/>
              <c:showVal val="1"/>
              <c:showCatName val="0"/>
              <c:showSerName val="0"/>
              <c:showPercent val="0"/>
              <c:showBubbleSize val="0"/>
              <c:extLst>
                <c:ext xmlns:c15="http://schemas.microsoft.com/office/drawing/2012/chart" uri="{CE6537A1-D6FC-4f65-9D91-7224C49458BB}"/>
              </c:extLst>
            </c:dLbl>
            <c:dLbl>
              <c:idx val="19"/>
              <c:tx>
                <c:rich>
                  <a:bodyPr/>
                  <a:lstStyle/>
                  <a:p>
                    <a:r>
                      <a:rPr lang="en-US"/>
                      <a:t>NZL</a:t>
                    </a:r>
                  </a:p>
                </c:rich>
              </c:tx>
              <c:dLblPos val="ctr"/>
              <c:showLegendKey val="0"/>
              <c:showVal val="1"/>
              <c:showCatName val="0"/>
              <c:showSerName val="0"/>
              <c:showPercent val="0"/>
              <c:showBubbleSize val="0"/>
              <c:extLst>
                <c:ext xmlns:c15="http://schemas.microsoft.com/office/drawing/2012/chart" uri="{CE6537A1-D6FC-4f65-9D91-7224C49458BB}"/>
              </c:extLst>
            </c:dLbl>
            <c:dLbl>
              <c:idx val="20"/>
              <c:tx>
                <c:rich>
                  <a:bodyPr/>
                  <a:lstStyle/>
                  <a:p>
                    <a:r>
                      <a:rPr lang="en-US"/>
                      <a:t>NOR</a:t>
                    </a:r>
                  </a:p>
                </c:rich>
              </c:tx>
              <c:dLblPos val="ctr"/>
              <c:showLegendKey val="0"/>
              <c:showVal val="1"/>
              <c:showCatName val="0"/>
              <c:showSerName val="0"/>
              <c:showPercent val="0"/>
              <c:showBubbleSize val="0"/>
              <c:extLst>
                <c:ext xmlns:c15="http://schemas.microsoft.com/office/drawing/2012/chart" uri="{CE6537A1-D6FC-4f65-9D91-7224C49458BB}"/>
              </c:extLst>
            </c:dLbl>
            <c:dLbl>
              <c:idx val="21"/>
              <c:tx>
                <c:rich>
                  <a:bodyPr/>
                  <a:lstStyle/>
                  <a:p>
                    <a:r>
                      <a:rPr lang="en-US"/>
                      <a:t>OECD</a:t>
                    </a:r>
                  </a:p>
                </c:rich>
              </c:tx>
              <c:dLblPos val="ctr"/>
              <c:showLegendKey val="0"/>
              <c:showVal val="1"/>
              <c:showCatName val="0"/>
              <c:showSerName val="0"/>
              <c:showPercent val="0"/>
              <c:showBubbleSize val="0"/>
              <c:extLst>
                <c:ext xmlns:c15="http://schemas.microsoft.com/office/drawing/2012/chart" uri="{CE6537A1-D6FC-4f65-9D91-7224C49458BB}"/>
              </c:extLst>
            </c:dLbl>
            <c:dLbl>
              <c:idx val="22"/>
              <c:tx>
                <c:rich>
                  <a:bodyPr/>
                  <a:lstStyle/>
                  <a:p>
                    <a:r>
                      <a:rPr lang="en-US"/>
                      <a:t>POL</a:t>
                    </a:r>
                  </a:p>
                </c:rich>
              </c:tx>
              <c:dLblPos val="ctr"/>
              <c:showLegendKey val="0"/>
              <c:showVal val="1"/>
              <c:showCatName val="0"/>
              <c:showSerName val="0"/>
              <c:showPercent val="0"/>
              <c:showBubbleSize val="0"/>
              <c:extLst>
                <c:ext xmlns:c15="http://schemas.microsoft.com/office/drawing/2012/chart" uri="{CE6537A1-D6FC-4f65-9D91-7224C49458BB}"/>
              </c:extLst>
            </c:dLbl>
            <c:dLbl>
              <c:idx val="23"/>
              <c:tx>
                <c:rich>
                  <a:bodyPr/>
                  <a:lstStyle/>
                  <a:p>
                    <a:r>
                      <a:rPr lang="en-US"/>
                      <a:t>POR</a:t>
                    </a:r>
                  </a:p>
                </c:rich>
              </c:tx>
              <c:dLblPos val="ctr"/>
              <c:showLegendKey val="0"/>
              <c:showVal val="1"/>
              <c:showCatName val="0"/>
              <c:showSerName val="0"/>
              <c:showPercent val="0"/>
              <c:showBubbleSize val="0"/>
              <c:extLst>
                <c:ext xmlns:c15="http://schemas.microsoft.com/office/drawing/2012/chart" uri="{CE6537A1-D6FC-4f65-9D91-7224C49458BB}"/>
              </c:extLst>
            </c:dLbl>
            <c:dLbl>
              <c:idx val="24"/>
              <c:tx>
                <c:rich>
                  <a:bodyPr/>
                  <a:lstStyle/>
                  <a:p>
                    <a:r>
                      <a:rPr lang="en-US"/>
                      <a:t>SLK</a:t>
                    </a:r>
                  </a:p>
                </c:rich>
              </c:tx>
              <c:dLblPos val="ctr"/>
              <c:showLegendKey val="0"/>
              <c:showVal val="1"/>
              <c:showCatName val="0"/>
              <c:showSerName val="0"/>
              <c:showPercent val="0"/>
              <c:showBubbleSize val="0"/>
              <c:extLst>
                <c:ext xmlns:c15="http://schemas.microsoft.com/office/drawing/2012/chart" uri="{CE6537A1-D6FC-4f65-9D91-7224C49458BB}"/>
              </c:extLst>
            </c:dLbl>
            <c:dLbl>
              <c:idx val="25"/>
              <c:tx>
                <c:rich>
                  <a:bodyPr/>
                  <a:lstStyle/>
                  <a:p>
                    <a:r>
                      <a:rPr lang="en-US"/>
                      <a:t>SLV</a:t>
                    </a:r>
                  </a:p>
                </c:rich>
              </c:tx>
              <c:dLblPos val="ctr"/>
              <c:showLegendKey val="0"/>
              <c:showVal val="1"/>
              <c:showCatName val="0"/>
              <c:showSerName val="0"/>
              <c:showPercent val="0"/>
              <c:showBubbleSize val="0"/>
              <c:extLst>
                <c:ext xmlns:c15="http://schemas.microsoft.com/office/drawing/2012/chart" uri="{CE6537A1-D6FC-4f65-9D91-7224C49458BB}"/>
              </c:extLst>
            </c:dLbl>
            <c:dLbl>
              <c:idx val="26"/>
              <c:tx>
                <c:rich>
                  <a:bodyPr/>
                  <a:lstStyle/>
                  <a:p>
                    <a:r>
                      <a:rPr lang="en-US"/>
                      <a:t>ESP</a:t>
                    </a:r>
                  </a:p>
                </c:rich>
              </c:tx>
              <c:dLblPos val="ctr"/>
              <c:showLegendKey val="0"/>
              <c:showVal val="1"/>
              <c:showCatName val="0"/>
              <c:showSerName val="0"/>
              <c:showPercent val="0"/>
              <c:showBubbleSize val="0"/>
              <c:extLst>
                <c:ext xmlns:c15="http://schemas.microsoft.com/office/drawing/2012/chart" uri="{CE6537A1-D6FC-4f65-9D91-7224C49458BB}"/>
              </c:extLst>
            </c:dLbl>
            <c:dLbl>
              <c:idx val="27"/>
              <c:tx>
                <c:rich>
                  <a:bodyPr/>
                  <a:lstStyle/>
                  <a:p>
                    <a:r>
                      <a:rPr lang="en-US"/>
                      <a:t>SWE</a:t>
                    </a:r>
                  </a:p>
                </c:rich>
              </c:tx>
              <c:dLblPos val="ctr"/>
              <c:showLegendKey val="0"/>
              <c:showVal val="1"/>
              <c:showCatName val="0"/>
              <c:showSerName val="0"/>
              <c:showPercent val="0"/>
              <c:showBubbleSize val="0"/>
              <c:extLst>
                <c:ext xmlns:c15="http://schemas.microsoft.com/office/drawing/2012/chart" uri="{CE6537A1-D6FC-4f65-9D91-7224C49458BB}"/>
              </c:extLst>
            </c:dLbl>
            <c:dLbl>
              <c:idx val="28"/>
              <c:tx>
                <c:rich>
                  <a:bodyPr/>
                  <a:lstStyle/>
                  <a:p>
                    <a:r>
                      <a:rPr lang="en-US"/>
                      <a:t>CHE</a:t>
                    </a:r>
                  </a:p>
                </c:rich>
              </c:tx>
              <c:dLblPos val="ctr"/>
              <c:showLegendKey val="0"/>
              <c:showVal val="1"/>
              <c:showCatName val="0"/>
              <c:showSerName val="0"/>
              <c:showPercent val="0"/>
              <c:showBubbleSize val="0"/>
              <c:extLst>
                <c:ext xmlns:c15="http://schemas.microsoft.com/office/drawing/2012/chart" uri="{CE6537A1-D6FC-4f65-9D91-7224C49458BB}"/>
              </c:extLst>
            </c:dLbl>
            <c:dLbl>
              <c:idx val="29"/>
              <c:tx>
                <c:rich>
                  <a:bodyPr/>
                  <a:lstStyle/>
                  <a:p>
                    <a:r>
                      <a:rPr lang="en-US"/>
                      <a:t>TUR</a:t>
                    </a:r>
                  </a:p>
                </c:rich>
              </c:tx>
              <c:dLblPos val="ctr"/>
              <c:showLegendKey val="0"/>
              <c:showVal val="1"/>
              <c:showCatName val="0"/>
              <c:showSerName val="0"/>
              <c:showPercent val="0"/>
              <c:showBubbleSize val="0"/>
              <c:extLst>
                <c:ext xmlns:c15="http://schemas.microsoft.com/office/drawing/2012/chart" uri="{CE6537A1-D6FC-4f65-9D91-7224C49458BB}"/>
              </c:extLst>
            </c:dLbl>
            <c:dLbl>
              <c:idx val="30"/>
              <c:tx>
                <c:rich>
                  <a:bodyPr/>
                  <a:lstStyle/>
                  <a:p>
                    <a:r>
                      <a:rPr lang="en-US"/>
                      <a:t>GBR</a:t>
                    </a:r>
                  </a:p>
                </c:rich>
              </c:tx>
              <c:dLblPos val="ctr"/>
              <c:showLegendKey val="0"/>
              <c:showVal val="1"/>
              <c:showCatName val="0"/>
              <c:showSerName val="0"/>
              <c:showPercent val="0"/>
              <c:showBubbleSize val="0"/>
              <c:extLst>
                <c:ext xmlns:c15="http://schemas.microsoft.com/office/drawing/2012/chart" uri="{CE6537A1-D6FC-4f65-9D91-7224C49458BB}"/>
              </c:extLst>
            </c:dLbl>
            <c:dLbl>
              <c:idx val="31"/>
              <c:tx>
                <c:rich>
                  <a:bodyPr/>
                  <a:lstStyle/>
                  <a:p>
                    <a:r>
                      <a:rPr lang="en-US"/>
                      <a:t>USA</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'[302012021T075.XLS]English'!$R$7:$R$38</c:f>
              <c:numCache>
                <c:formatCode>General</c:formatCode>
                <c:ptCount val="32"/>
                <c:pt idx="0">
                  <c:v>37.6</c:v>
                </c:pt>
                <c:pt idx="1">
                  <c:v>19.3</c:v>
                </c:pt>
                <c:pt idx="2">
                  <c:v>35</c:v>
                </c:pt>
                <c:pt idx="3">
                  <c:v>50.6</c:v>
                </c:pt>
                <c:pt idx="4">
                  <c:v>26.8</c:v>
                </c:pt>
                <c:pt idx="5">
                  <c:v>16.8</c:v>
                </c:pt>
                <c:pt idx="6">
                  <c:v>33.299999999999997</c:v>
                </c:pt>
                <c:pt idx="7">
                  <c:v>35.299999999999997</c:v>
                </c:pt>
                <c:pt idx="8">
                  <c:v>38.1</c:v>
                </c:pt>
                <c:pt idx="9">
                  <c:v>29</c:v>
                </c:pt>
                <c:pt idx="10">
                  <c:v>26.6</c:v>
                </c:pt>
                <c:pt idx="11">
                  <c:v>24.6</c:v>
                </c:pt>
                <c:pt idx="12">
                  <c:v>20.100000000000001</c:v>
                </c:pt>
                <c:pt idx="13">
                  <c:v>37.299999999999997</c:v>
                </c:pt>
                <c:pt idx="14">
                  <c:v>45.6</c:v>
                </c:pt>
                <c:pt idx="15">
                  <c:v>14.8</c:v>
                </c:pt>
                <c:pt idx="16">
                  <c:v>44.8</c:v>
                </c:pt>
                <c:pt idx="17">
                  <c:v>39.700000000000003</c:v>
                </c:pt>
                <c:pt idx="18">
                  <c:v>32.4</c:v>
                </c:pt>
                <c:pt idx="19">
                  <c:v>40.700000000000003</c:v>
                </c:pt>
                <c:pt idx="20">
                  <c:v>37.299999999999997</c:v>
                </c:pt>
                <c:pt idx="21">
                  <c:v>30.7</c:v>
                </c:pt>
                <c:pt idx="22">
                  <c:v>22.9</c:v>
                </c:pt>
                <c:pt idx="23">
                  <c:v>15.4</c:v>
                </c:pt>
                <c:pt idx="24">
                  <c:v>17.3</c:v>
                </c:pt>
                <c:pt idx="25">
                  <c:v>23.7</c:v>
                </c:pt>
                <c:pt idx="26">
                  <c:v>30.7</c:v>
                </c:pt>
                <c:pt idx="27">
                  <c:v>34.200000000000003</c:v>
                </c:pt>
                <c:pt idx="28">
                  <c:v>35.200000000000003</c:v>
                </c:pt>
                <c:pt idx="29">
                  <c:v>13.1</c:v>
                </c:pt>
                <c:pt idx="30">
                  <c:v>38.200000000000003</c:v>
                </c:pt>
                <c:pt idx="31">
                  <c:v>41.7</c:v>
                </c:pt>
              </c:numCache>
            </c:numRef>
          </c:xVal>
          <c:yVal>
            <c:numRef>
              <c:f>'[302012021T075.XLS]English'!$T$7:$T$38</c:f>
              <c:numCache>
                <c:formatCode>General</c:formatCode>
                <c:ptCount val="32"/>
                <c:pt idx="0">
                  <c:v>35.447483777912538</c:v>
                </c:pt>
                <c:pt idx="1">
                  <c:v>56.426025482376986</c:v>
                </c:pt>
                <c:pt idx="2">
                  <c:v>31.028111761293076</c:v>
                </c:pt>
                <c:pt idx="3">
                  <c:v>38.047795414428634</c:v>
                </c:pt>
                <c:pt idx="4">
                  <c:v>63.047003989548529</c:v>
                </c:pt>
                <c:pt idx="5">
                  <c:v>25.957945493350408</c:v>
                </c:pt>
                <c:pt idx="6">
                  <c:v>54.356910651407418</c:v>
                </c:pt>
                <c:pt idx="7">
                  <c:v>46.154104050928964</c:v>
                </c:pt>
                <c:pt idx="8">
                  <c:v>50.968166150739933</c:v>
                </c:pt>
                <c:pt idx="9">
                  <c:v>53.199229004016047</c:v>
                </c:pt>
                <c:pt idx="10">
                  <c:v>62.682989674128635</c:v>
                </c:pt>
                <c:pt idx="11">
                  <c:v>87.356933106066691</c:v>
                </c:pt>
                <c:pt idx="12">
                  <c:v>80.42977059129575</c:v>
                </c:pt>
                <c:pt idx="13">
                  <c:v>63.605890569308173</c:v>
                </c:pt>
                <c:pt idx="14">
                  <c:v>62.16108305640563</c:v>
                </c:pt>
                <c:pt idx="15">
                  <c:v>39.208407221114754</c:v>
                </c:pt>
                <c:pt idx="16">
                  <c:v>42.968579659484448</c:v>
                </c:pt>
                <c:pt idx="17">
                  <c:v>65.001614330382068</c:v>
                </c:pt>
                <c:pt idx="18">
                  <c:v>59.117137544695055</c:v>
                </c:pt>
                <c:pt idx="19">
                  <c:v>23.698910775291239</c:v>
                </c:pt>
                <c:pt idx="20">
                  <c:v>28.472777511789218</c:v>
                </c:pt>
                <c:pt idx="21">
                  <c:v>54.596543826047053</c:v>
                </c:pt>
                <c:pt idx="22">
                  <c:v>69.063134966397939</c:v>
                </c:pt>
                <c:pt idx="23">
                  <c:v>69.014466216368987</c:v>
                </c:pt>
                <c:pt idx="24">
                  <c:v>78.923918498581912</c:v>
                </c:pt>
                <c:pt idx="25">
                  <c:v>85.67150358520928</c:v>
                </c:pt>
                <c:pt idx="26">
                  <c:v>40.722150114571917</c:v>
                </c:pt>
                <c:pt idx="27">
                  <c:v>25.360228744005241</c:v>
                </c:pt>
                <c:pt idx="28">
                  <c:v>53.433865346043376</c:v>
                </c:pt>
                <c:pt idx="29">
                  <c:v>48.867125676604388</c:v>
                </c:pt>
                <c:pt idx="30">
                  <c:v>65.499422090653866</c:v>
                </c:pt>
                <c:pt idx="31">
                  <c:v>76.759065794042357</c:v>
                </c:pt>
              </c:numCache>
            </c:numRef>
          </c:yVal>
          <c:smooth val="0"/>
        </c:ser>
        <c:dLbls>
          <c:dLblPos val="ctr"/>
          <c:showLegendKey val="0"/>
          <c:showVal val="1"/>
          <c:showCatName val="0"/>
          <c:showSerName val="0"/>
          <c:showPercent val="0"/>
          <c:showBubbleSize val="0"/>
        </c:dLbls>
        <c:axId val="498957608"/>
        <c:axId val="498951728"/>
      </c:scatterChart>
      <c:valAx>
        <c:axId val="498957608"/>
        <c:scaling>
          <c:orientation val="minMax"/>
        </c:scaling>
        <c:delete val="0"/>
        <c:axPos val="b"/>
        <c:title>
          <c:tx>
            <c:rich>
              <a:bodyPr/>
              <a:lstStyle/>
              <a:p>
                <a:pPr>
                  <a:defRPr/>
                </a:pPr>
                <a:r>
                  <a:rPr lang="en-US"/>
                  <a:t>Tertiary education attainment, 2010</a:t>
                </a:r>
              </a:p>
            </c:rich>
          </c:tx>
          <c:overlay val="0"/>
        </c:title>
        <c:numFmt formatCode="General" sourceLinked="1"/>
        <c:majorTickMark val="out"/>
        <c:minorTickMark val="none"/>
        <c:tickLblPos val="nextTo"/>
        <c:crossAx val="498951728"/>
        <c:crosses val="autoZero"/>
        <c:crossBetween val="midCat"/>
      </c:valAx>
      <c:valAx>
        <c:axId val="498951728"/>
        <c:scaling>
          <c:orientation val="minMax"/>
        </c:scaling>
        <c:delete val="0"/>
        <c:axPos val="l"/>
        <c:title>
          <c:tx>
            <c:rich>
              <a:bodyPr rot="-5400000" vert="horz"/>
              <a:lstStyle/>
              <a:p>
                <a:pPr>
                  <a:defRPr/>
                </a:pPr>
                <a:r>
                  <a:rPr lang="en-US"/>
                  <a:t>Relative earnings premium (ISCED 5/6 vs. ISCED 3/4)</a:t>
                </a:r>
              </a:p>
            </c:rich>
          </c:tx>
          <c:overlay val="0"/>
        </c:title>
        <c:numFmt formatCode="General" sourceLinked="1"/>
        <c:majorTickMark val="out"/>
        <c:minorTickMark val="none"/>
        <c:tickLblPos val="nextTo"/>
        <c:crossAx val="498957608"/>
        <c:crosses val="autoZero"/>
        <c:crossBetween val="midCat"/>
      </c:valAx>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ymbol val="none"/>
          </c:marker>
          <c:dLbls>
            <c:dLbl>
              <c:idx val="0"/>
              <c:tx>
                <c:rich>
                  <a:bodyPr/>
                  <a:lstStyle/>
                  <a:p>
                    <a:r>
                      <a:rPr lang="en-US"/>
                      <a:t>AUT</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BEL</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CAN</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CYP</a:t>
                    </a:r>
                  </a:p>
                </c:rich>
              </c:tx>
              <c:dLblPos val="ct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CZE</a:t>
                    </a:r>
                  </a:p>
                </c:rich>
              </c:tx>
              <c:dLblPos val="ctr"/>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DEN</a:t>
                    </a:r>
                  </a:p>
                </c:rich>
              </c:tx>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EST</a:t>
                    </a:r>
                  </a:p>
                </c:rich>
              </c:tx>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FIN</a:t>
                    </a:r>
                  </a:p>
                </c:rich>
              </c:tx>
              <c:dLblPos val="ct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FRA</a:t>
                    </a:r>
                  </a:p>
                </c:rich>
              </c:tx>
              <c:dLblPos val="ctr"/>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DEU</a:t>
                    </a:r>
                  </a:p>
                </c:rich>
              </c:tx>
              <c:dLblPos val="ct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IRE</a:t>
                    </a:r>
                  </a:p>
                </c:rich>
              </c:tx>
              <c:dLblPos val="ctr"/>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ITA</a:t>
                    </a:r>
                  </a:p>
                </c:rich>
              </c:tx>
              <c:dLblPos val="ctr"/>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JPN</a:t>
                    </a:r>
                  </a:p>
                </c:rich>
              </c:tx>
              <c:dLblPos val="ctr"/>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KOR</a:t>
                    </a:r>
                  </a:p>
                </c:rich>
              </c:tx>
              <c:dLblPos val="ctr"/>
              <c:showLegendKey val="0"/>
              <c:showVal val="1"/>
              <c:showCatName val="0"/>
              <c:showSerName val="0"/>
              <c:showPercent val="0"/>
              <c:showBubbleSize val="0"/>
              <c:extLst>
                <c:ext xmlns:c15="http://schemas.microsoft.com/office/drawing/2012/chart" uri="{CE6537A1-D6FC-4f65-9D91-7224C49458BB}"/>
              </c:extLst>
            </c:dLbl>
            <c:dLbl>
              <c:idx val="14"/>
              <c:tx>
                <c:rich>
                  <a:bodyPr/>
                  <a:lstStyle/>
                  <a:p>
                    <a:r>
                      <a:rPr lang="en-US"/>
                      <a:t>NED</a:t>
                    </a:r>
                  </a:p>
                </c:rich>
              </c:tx>
              <c:dLblPos val="ctr"/>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NOR</a:t>
                    </a:r>
                  </a:p>
                </c:rich>
              </c:tx>
              <c:dLblPos val="ctr"/>
              <c:showLegendKey val="0"/>
              <c:showVal val="1"/>
              <c:showCatName val="0"/>
              <c:showSerName val="0"/>
              <c:showPercent val="0"/>
              <c:showBubbleSize val="0"/>
              <c:extLst>
                <c:ext xmlns:c15="http://schemas.microsoft.com/office/drawing/2012/chart" uri="{CE6537A1-D6FC-4f65-9D91-7224C49458BB}"/>
              </c:extLst>
            </c:dLbl>
            <c:dLbl>
              <c:idx val="16"/>
              <c:tx>
                <c:rich>
                  <a:bodyPr/>
                  <a:lstStyle/>
                  <a:p>
                    <a:r>
                      <a:rPr lang="en-US"/>
                      <a:t>POL</a:t>
                    </a:r>
                  </a:p>
                </c:rich>
              </c:tx>
              <c:dLblPos val="ctr"/>
              <c:showLegendKey val="0"/>
              <c:showVal val="1"/>
              <c:showCatName val="0"/>
              <c:showSerName val="0"/>
              <c:showPercent val="0"/>
              <c:showBubbleSize val="0"/>
              <c:extLst>
                <c:ext xmlns:c15="http://schemas.microsoft.com/office/drawing/2012/chart" uri="{CE6537A1-D6FC-4f65-9D91-7224C49458BB}"/>
              </c:extLst>
            </c:dLbl>
            <c:dLbl>
              <c:idx val="17"/>
              <c:tx>
                <c:rich>
                  <a:bodyPr/>
                  <a:lstStyle/>
                  <a:p>
                    <a:r>
                      <a:rPr lang="en-US"/>
                      <a:t>SLK</a:t>
                    </a:r>
                  </a:p>
                </c:rich>
              </c:tx>
              <c:dLblPos val="ctr"/>
              <c:showLegendKey val="0"/>
              <c:showVal val="1"/>
              <c:showCatName val="0"/>
              <c:showSerName val="0"/>
              <c:showPercent val="0"/>
              <c:showBubbleSize val="0"/>
              <c:extLst>
                <c:ext xmlns:c15="http://schemas.microsoft.com/office/drawing/2012/chart" uri="{CE6537A1-D6FC-4f65-9D91-7224C49458BB}"/>
              </c:extLst>
            </c:dLbl>
            <c:dLbl>
              <c:idx val="18"/>
              <c:tx>
                <c:rich>
                  <a:bodyPr/>
                  <a:lstStyle/>
                  <a:p>
                    <a:r>
                      <a:rPr lang="en-US"/>
                      <a:t>ESP</a:t>
                    </a:r>
                  </a:p>
                </c:rich>
              </c:tx>
              <c:dLblPos val="ctr"/>
              <c:showLegendKey val="0"/>
              <c:showVal val="1"/>
              <c:showCatName val="0"/>
              <c:showSerName val="0"/>
              <c:showPercent val="0"/>
              <c:showBubbleSize val="0"/>
              <c:extLst>
                <c:ext xmlns:c15="http://schemas.microsoft.com/office/drawing/2012/chart" uri="{CE6537A1-D6FC-4f65-9D91-7224C49458BB}"/>
              </c:extLst>
            </c:dLbl>
            <c:dLbl>
              <c:idx val="19"/>
              <c:tx>
                <c:rich>
                  <a:bodyPr/>
                  <a:lstStyle/>
                  <a:p>
                    <a:r>
                      <a:rPr lang="en-US"/>
                      <a:t>SWE</a:t>
                    </a:r>
                  </a:p>
                </c:rich>
              </c:tx>
              <c:dLblPos val="ctr"/>
              <c:showLegendKey val="0"/>
              <c:showVal val="1"/>
              <c:showCatName val="0"/>
              <c:showSerName val="0"/>
              <c:showPercent val="0"/>
              <c:showBubbleSize val="0"/>
              <c:extLst>
                <c:ext xmlns:c15="http://schemas.microsoft.com/office/drawing/2012/chart" uri="{CE6537A1-D6FC-4f65-9D91-7224C49458BB}"/>
              </c:extLst>
            </c:dLbl>
            <c:dLbl>
              <c:idx val="20"/>
              <c:tx>
                <c:rich>
                  <a:bodyPr/>
                  <a:lstStyle/>
                  <a:p>
                    <a:r>
                      <a:rPr lang="en-US"/>
                      <a:t>UK</a:t>
                    </a:r>
                  </a:p>
                </c:rich>
              </c:tx>
              <c:dLblPos val="ctr"/>
              <c:showLegendKey val="0"/>
              <c:showVal val="1"/>
              <c:showCatName val="0"/>
              <c:showSerName val="0"/>
              <c:showPercent val="0"/>
              <c:showBubbleSize val="0"/>
              <c:extLst>
                <c:ext xmlns:c15="http://schemas.microsoft.com/office/drawing/2012/chart" uri="{CE6537A1-D6FC-4f65-9D91-7224C49458BB}"/>
              </c:extLst>
            </c:dLbl>
            <c:dLbl>
              <c:idx val="21"/>
              <c:tx>
                <c:rich>
                  <a:bodyPr/>
                  <a:lstStyle/>
                  <a:p>
                    <a:r>
                      <a:rPr lang="en-US"/>
                      <a:t>USA</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Sheet1!$E$3:$Z$3</c:f>
              <c:numCache>
                <c:formatCode>0.00%</c:formatCode>
                <c:ptCount val="22"/>
                <c:pt idx="0">
                  <c:v>7.6999999999999999E-2</c:v>
                </c:pt>
                <c:pt idx="1">
                  <c:v>6.2E-2</c:v>
                </c:pt>
                <c:pt idx="2">
                  <c:v>7.8E-2</c:v>
                </c:pt>
                <c:pt idx="3">
                  <c:v>8.8999999999999996E-2</c:v>
                </c:pt>
                <c:pt idx="4">
                  <c:v>5.8999999999999997E-2</c:v>
                </c:pt>
                <c:pt idx="5">
                  <c:v>5.5E-2</c:v>
                </c:pt>
                <c:pt idx="6">
                  <c:v>7.3999999999999996E-2</c:v>
                </c:pt>
                <c:pt idx="7">
                  <c:v>6.8000000000000005E-2</c:v>
                </c:pt>
                <c:pt idx="8">
                  <c:v>5.5E-2</c:v>
                </c:pt>
                <c:pt idx="9">
                  <c:v>9.5000000000000001E-2</c:v>
                </c:pt>
                <c:pt idx="10">
                  <c:v>8.5000000000000006E-2</c:v>
                </c:pt>
                <c:pt idx="11">
                  <c:v>5.2999999999999999E-2</c:v>
                </c:pt>
                <c:pt idx="12">
                  <c:v>8.7999999999999995E-2</c:v>
                </c:pt>
                <c:pt idx="13">
                  <c:v>9.2999999999999999E-2</c:v>
                </c:pt>
                <c:pt idx="14">
                  <c:v>8.2000000000000003E-2</c:v>
                </c:pt>
                <c:pt idx="15">
                  <c:v>5.6000000000000001E-2</c:v>
                </c:pt>
                <c:pt idx="16">
                  <c:v>0.10100000000000001</c:v>
                </c:pt>
                <c:pt idx="17">
                  <c:v>9.5000000000000001E-2</c:v>
                </c:pt>
                <c:pt idx="18">
                  <c:v>7.9000000000000001E-2</c:v>
                </c:pt>
                <c:pt idx="19">
                  <c:v>4.2000000000000003E-2</c:v>
                </c:pt>
                <c:pt idx="20">
                  <c:v>8.5000000000000006E-2</c:v>
                </c:pt>
                <c:pt idx="21">
                  <c:v>0.111</c:v>
                </c:pt>
              </c:numCache>
            </c:numRef>
          </c:xVal>
          <c:yVal>
            <c:numRef>
              <c:f>Sheet1!$E$4:$Z$4</c:f>
              <c:numCache>
                <c:formatCode>0.00%</c:formatCode>
                <c:ptCount val="22"/>
                <c:pt idx="0">
                  <c:v>0.17899999999999999</c:v>
                </c:pt>
                <c:pt idx="1">
                  <c:v>0.14899999999999999</c:v>
                </c:pt>
                <c:pt idx="2">
                  <c:v>0.193</c:v>
                </c:pt>
                <c:pt idx="3">
                  <c:v>0.13800000000000001</c:v>
                </c:pt>
                <c:pt idx="4">
                  <c:v>0.124</c:v>
                </c:pt>
                <c:pt idx="5">
                  <c:v>0.13700000000000001</c:v>
                </c:pt>
                <c:pt idx="6">
                  <c:v>0.17899999999999999</c:v>
                </c:pt>
                <c:pt idx="7">
                  <c:v>0.14199999999999999</c:v>
                </c:pt>
                <c:pt idx="8">
                  <c:v>0.17399999999999999</c:v>
                </c:pt>
                <c:pt idx="9">
                  <c:v>0.23499999999999999</c:v>
                </c:pt>
                <c:pt idx="10">
                  <c:v>0.24099999999999999</c:v>
                </c:pt>
                <c:pt idx="11">
                  <c:v>0.13200000000000001</c:v>
                </c:pt>
                <c:pt idx="12">
                  <c:v>0.184</c:v>
                </c:pt>
                <c:pt idx="13">
                  <c:v>0.217</c:v>
                </c:pt>
                <c:pt idx="14">
                  <c:v>0.183</c:v>
                </c:pt>
                <c:pt idx="15">
                  <c:v>0.127</c:v>
                </c:pt>
                <c:pt idx="16">
                  <c:v>0.191</c:v>
                </c:pt>
                <c:pt idx="17">
                  <c:v>0.17899999999999999</c:v>
                </c:pt>
                <c:pt idx="18">
                  <c:v>0.22800000000000001</c:v>
                </c:pt>
                <c:pt idx="19">
                  <c:v>0.121</c:v>
                </c:pt>
                <c:pt idx="20">
                  <c:v>0.22500000000000001</c:v>
                </c:pt>
                <c:pt idx="21">
                  <c:v>0.27900000000000003</c:v>
                </c:pt>
              </c:numCache>
            </c:numRef>
          </c:yVal>
          <c:smooth val="0"/>
        </c:ser>
        <c:dLbls>
          <c:showLegendKey val="0"/>
          <c:showVal val="0"/>
          <c:showCatName val="0"/>
          <c:showSerName val="0"/>
          <c:showPercent val="0"/>
          <c:showBubbleSize val="0"/>
        </c:dLbls>
        <c:axId val="498954864"/>
        <c:axId val="498955648"/>
      </c:scatterChart>
      <c:valAx>
        <c:axId val="498954864"/>
        <c:scaling>
          <c:orientation val="minMax"/>
        </c:scaling>
        <c:delete val="0"/>
        <c:axPos val="b"/>
        <c:title>
          <c:tx>
            <c:rich>
              <a:bodyPr/>
              <a:lstStyle/>
              <a:p>
                <a:pPr>
                  <a:defRPr/>
                </a:pPr>
                <a:r>
                  <a:rPr lang="en-US"/>
                  <a:t>Wage premium on years of schooling</a:t>
                </a:r>
              </a:p>
            </c:rich>
          </c:tx>
          <c:overlay val="0"/>
        </c:title>
        <c:numFmt formatCode="0.00%" sourceLinked="1"/>
        <c:majorTickMark val="out"/>
        <c:minorTickMark val="none"/>
        <c:tickLblPos val="nextTo"/>
        <c:crossAx val="498955648"/>
        <c:crosses val="autoZero"/>
        <c:crossBetween val="midCat"/>
      </c:valAx>
      <c:valAx>
        <c:axId val="498955648"/>
        <c:scaling>
          <c:orientation val="minMax"/>
        </c:scaling>
        <c:delete val="0"/>
        <c:axPos val="l"/>
        <c:title>
          <c:tx>
            <c:rich>
              <a:bodyPr rot="-5400000" vert="horz"/>
              <a:lstStyle/>
              <a:p>
                <a:pPr>
                  <a:defRPr/>
                </a:pPr>
                <a:r>
                  <a:rPr lang="en-GB"/>
                  <a:t>Wage premium on standaridized numeracy</a:t>
                </a:r>
                <a:r>
                  <a:rPr lang="en-GB" baseline="0"/>
                  <a:t> score</a:t>
                </a:r>
                <a:r>
                  <a:rPr lang="en-GB"/>
                  <a:t> </a:t>
                </a:r>
              </a:p>
            </c:rich>
          </c:tx>
          <c:overlay val="0"/>
        </c:title>
        <c:numFmt formatCode="0.00%" sourceLinked="1"/>
        <c:majorTickMark val="out"/>
        <c:minorTickMark val="none"/>
        <c:tickLblPos val="nextTo"/>
        <c:crossAx val="498954864"/>
        <c:crosses val="autoZero"/>
        <c:crossBetween val="midCat"/>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0.54916</cdr:x>
      <cdr:y>0.03071</cdr:y>
    </cdr:from>
    <cdr:to>
      <cdr:x>0.54936</cdr:x>
      <cdr:y>0.86516</cdr:y>
    </cdr:to>
    <cdr:cxnSp macro="">
      <cdr:nvCxnSpPr>
        <cdr:cNvPr id="3" name="Straight Connector 2"/>
        <cdr:cNvCxnSpPr/>
      </cdr:nvCxnSpPr>
      <cdr:spPr>
        <a:xfrm xmlns:a="http://schemas.openxmlformats.org/drawingml/2006/main" flipH="1" flipV="1">
          <a:off x="3206472" y="136615"/>
          <a:ext cx="1168" cy="371178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0.11093</cdr:x>
      <cdr:y>0.41113</cdr:y>
    </cdr:from>
    <cdr:to>
      <cdr:x>0.96157</cdr:x>
      <cdr:y>0.41189</cdr:y>
    </cdr:to>
    <cdr:cxnSp macro="">
      <cdr:nvCxnSpPr>
        <cdr:cNvPr id="7" name="Straight Connector 6"/>
        <cdr:cNvCxnSpPr/>
      </cdr:nvCxnSpPr>
      <cdr:spPr>
        <a:xfrm xmlns:a="http://schemas.openxmlformats.org/drawingml/2006/main">
          <a:off x="647700" y="1828800"/>
          <a:ext cx="4966739" cy="3359"/>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5045-CD42-43A2-A38E-24D13599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10092</Words>
  <Characters>57525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67483</CharactersWithSpaces>
  <SharedDoc>false</SharedDoc>
  <HLinks>
    <vt:vector size="18" baseType="variant">
      <vt:variant>
        <vt:i4>2949172</vt:i4>
      </vt:variant>
      <vt:variant>
        <vt:i4>6</vt:i4>
      </vt:variant>
      <vt:variant>
        <vt:i4>0</vt:i4>
      </vt:variant>
      <vt:variant>
        <vt:i4>5</vt:i4>
      </vt:variant>
      <vt:variant>
        <vt:lpwstr>http://www.cepr.net/documents/publications/min-wage-2013-02.pdf</vt:lpwstr>
      </vt:variant>
      <vt:variant>
        <vt:lpwstr/>
      </vt:variant>
      <vt:variant>
        <vt:i4>4915217</vt:i4>
      </vt:variant>
      <vt:variant>
        <vt:i4>3</vt:i4>
      </vt:variant>
      <vt:variant>
        <vt:i4>0</vt:i4>
      </vt:variant>
      <vt:variant>
        <vt:i4>5</vt:i4>
      </vt:variant>
      <vt:variant>
        <vt:lpwstr>http://ssrn.com/abstract=2494651</vt:lpwstr>
      </vt:variant>
      <vt:variant>
        <vt:lpwstr/>
      </vt:variant>
      <vt:variant>
        <vt:i4>5177375</vt:i4>
      </vt:variant>
      <vt:variant>
        <vt:i4>0</vt:i4>
      </vt:variant>
      <vt:variant>
        <vt:i4>0</vt:i4>
      </vt:variant>
      <vt:variant>
        <vt:i4>5</vt:i4>
      </vt:variant>
      <vt:variant>
        <vt:lpwstr>http://www.oecd.org/els/emp/34932279.pdf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Craig Holmes</cp:lastModifiedBy>
  <cp:revision>3</cp:revision>
  <dcterms:created xsi:type="dcterms:W3CDTF">2015-08-29T21:26:00Z</dcterms:created>
  <dcterms:modified xsi:type="dcterms:W3CDTF">2015-08-29T21:33:00Z</dcterms:modified>
</cp:coreProperties>
</file>